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pBdr>
          <w:top w:space="0" w:sz="0" w:val="nil"/>
          <w:left w:space="0" w:sz="0" w:val="nil"/>
          <w:bottom w:space="0" w:sz="0" w:val="nil"/>
          <w:right w:space="0" w:sz="0" w:val="nil"/>
          <w:between w:space="0" w:sz="0" w:val="nil"/>
        </w:pBdr>
        <w:shd w:fill="auto" w:val="clear"/>
        <w:spacing w:before="0" w:lineRule="auto"/>
        <w:contextualSpacing w:val="0"/>
        <w:rPr>
          <w:rFonts w:ascii="Calibri" w:cs="Calibri" w:eastAsia="Calibri" w:hAnsi="Calibri"/>
          <w:b w:val="1"/>
          <w:color w:val="000000"/>
          <w:sz w:val="48"/>
          <w:szCs w:val="48"/>
        </w:rPr>
      </w:pPr>
      <w:bookmarkStart w:colFirst="0" w:colLast="0" w:name="_uwtpzkmp9874" w:id="0"/>
      <w:bookmarkEnd w:id="0"/>
      <w:r w:rsidDel="00000000" w:rsidR="00000000" w:rsidRPr="00000000">
        <w:rPr>
          <w:rFonts w:ascii="Calibri" w:cs="Calibri" w:eastAsia="Calibri" w:hAnsi="Calibri"/>
          <w:b w:val="1"/>
          <w:color w:val="000000"/>
          <w:sz w:val="48"/>
          <w:szCs w:val="48"/>
          <w:rtl w:val="0"/>
        </w:rPr>
        <w:t xml:space="preserve">Milan Middle School</w:t>
      </w:r>
    </w:p>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contextualSpacing w:val="0"/>
        <w:rPr>
          <w:rFonts w:ascii="Calibri" w:cs="Calibri" w:eastAsia="Calibri" w:hAnsi="Calibri"/>
          <w:color w:val="ff0000"/>
        </w:rPr>
      </w:pPr>
      <w:bookmarkStart w:colFirst="0" w:colLast="0" w:name="_asjg9djmphza" w:id="1"/>
      <w:bookmarkEnd w:id="1"/>
      <w:r w:rsidDel="00000000" w:rsidR="00000000" w:rsidRPr="00000000">
        <w:rPr>
          <w:rFonts w:ascii="Calibri" w:cs="Calibri" w:eastAsia="Calibri" w:hAnsi="Calibri"/>
          <w:color w:val="ff0000"/>
          <w:rtl w:val="0"/>
        </w:rPr>
        <w:t xml:space="preserve">Handbook</w:t>
      </w:r>
      <w:r w:rsidDel="00000000" w:rsidR="00000000" w:rsidRPr="00000000">
        <w:rPr>
          <w:rtl w:val="0"/>
        </w:rPr>
      </w:r>
    </w:p>
    <w:p w:rsidR="00000000" w:rsidDel="00000000" w:rsidP="00000000" w:rsidRDefault="00000000" w:rsidRPr="00000000" w14:paraId="00000002">
      <w:pPr>
        <w:pStyle w:val="Subtitle"/>
        <w:pBdr>
          <w:top w:space="0" w:sz="0" w:val="nil"/>
          <w:left w:space="0" w:sz="0" w:val="nil"/>
          <w:bottom w:space="0" w:sz="0" w:val="nil"/>
          <w:right w:space="0" w:sz="0" w:val="nil"/>
          <w:between w:space="0" w:sz="0" w:val="nil"/>
        </w:pBdr>
        <w:shd w:fill="auto" w:val="clear"/>
        <w:contextualSpacing w:val="0"/>
        <w:rPr>
          <w:rFonts w:ascii="Calibri" w:cs="Calibri" w:eastAsia="Calibri" w:hAnsi="Calibri"/>
          <w:color w:val="d44415"/>
        </w:rPr>
      </w:pPr>
      <w:bookmarkStart w:colFirst="0" w:colLast="0" w:name="_qi2yc3xrk7l0" w:id="2"/>
      <w:bookmarkEnd w:id="2"/>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bookmarkStart w:colFirst="0" w:colLast="0" w:name="_t48vj9f6fmak" w:id="3"/>
      <w:bookmarkEnd w:id="3"/>
      <w:r w:rsidDel="00000000" w:rsidR="00000000" w:rsidRPr="00000000">
        <w:rPr>
          <w:rFonts w:ascii="Calibri" w:cs="Calibri" w:eastAsia="Calibri" w:hAnsi="Calibri"/>
          <w:rtl w:val="0"/>
        </w:rPr>
        <w:t xml:space="preserve">Standards-Based Education</w:t>
      </w:r>
      <w:r w:rsidDel="00000000" w:rsidR="00000000" w:rsidRPr="00000000">
        <w:rPr>
          <w:rtl w:val="0"/>
        </w:rPr>
      </w:r>
    </w:p>
    <w:p w:rsidR="00000000" w:rsidDel="00000000" w:rsidP="00000000" w:rsidRDefault="00000000" w:rsidRPr="00000000" w14:paraId="00000004">
      <w:pPr>
        <w:pStyle w:val="Heading2"/>
        <w:pBdr>
          <w:top w:space="0" w:sz="0" w:val="nil"/>
          <w:left w:space="0" w:sz="0" w:val="nil"/>
          <w:bottom w:space="0" w:sz="0" w:val="nil"/>
          <w:right w:space="0" w:sz="0" w:val="nil"/>
          <w:between w:space="0" w:sz="0" w:val="nil"/>
        </w:pBdr>
        <w:shd w:fill="auto" w:val="clear"/>
        <w:spacing w:after="200" w:before="400" w:lineRule="auto"/>
        <w:ind w:left="-1440" w:right="-1440" w:firstLine="0"/>
        <w:contextualSpacing w:val="0"/>
        <w:rPr>
          <w:rFonts w:ascii="Calibri" w:cs="Calibri" w:eastAsia="Calibri" w:hAnsi="Calibri"/>
        </w:rPr>
      </w:pPr>
      <w:bookmarkStart w:colFirst="0" w:colLast="0" w:name="_o8jg7s1roq8t" w:id="4"/>
      <w:bookmarkEnd w:id="4"/>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-466724</wp:posOffset>
            </wp:positionH>
            <wp:positionV relativeFrom="paragraph">
              <wp:posOffset>432953</wp:posOffset>
            </wp:positionV>
            <wp:extent cx="6929438" cy="1833997"/>
            <wp:effectExtent b="0" l="0" r="0" t="0"/>
            <wp:wrapTopAndBottom distB="114300" distT="114300"/>
            <wp:docPr descr="big reds.png" id="2" name="image4.png"/>
            <a:graphic>
              <a:graphicData uri="http://schemas.openxmlformats.org/drawingml/2006/picture">
                <pic:pic>
                  <pic:nvPicPr>
                    <pic:cNvPr descr="big reds.png" id="0" name="image4.png"/>
                    <pic:cNvPicPr preferRelativeResize="0"/>
                  </pic:nvPicPr>
                  <pic:blipFill>
                    <a:blip r:embed="rId6"/>
                    <a:srcRect b="0" l="0" r="0" t="0"/>
                    <a:stretch>
                      <a:fillRect/>
                    </a:stretch>
                  </pic:blipFill>
                  <pic:spPr>
                    <a:xfrm>
                      <a:off x="0" y="0"/>
                      <a:ext cx="6929438" cy="1833997"/>
                    </a:xfrm>
                    <a:prstGeom prst="rect"/>
                    <a:ln/>
                  </pic:spPr>
                </pic:pic>
              </a:graphicData>
            </a:graphic>
          </wp:anchor>
        </w:drawing>
      </w:r>
    </w:p>
    <w:p w:rsidR="00000000" w:rsidDel="00000000" w:rsidP="00000000" w:rsidRDefault="00000000" w:rsidRPr="00000000" w14:paraId="00000005">
      <w:pPr>
        <w:pStyle w:val="Heading2"/>
        <w:contextualSpacing w:val="0"/>
        <w:rPr>
          <w:rFonts w:ascii="Calibri" w:cs="Calibri" w:eastAsia="Calibri" w:hAnsi="Calibri"/>
        </w:rPr>
      </w:pPr>
      <w:bookmarkStart w:colFirst="0" w:colLast="0" w:name="_csmls68aiz7s" w:id="5"/>
      <w:bookmarkEnd w:id="5"/>
      <w:r w:rsidDel="00000000" w:rsidR="00000000" w:rsidRPr="00000000">
        <w:rPr>
          <w:rFonts w:ascii="Calibri" w:cs="Calibri" w:eastAsia="Calibri" w:hAnsi="Calibri"/>
          <w:rtl w:val="0"/>
        </w:rPr>
        <w:t xml:space="preserve">Our SBG Mission</w:t>
      </w:r>
    </w:p>
    <w:p w:rsidR="00000000" w:rsidDel="00000000" w:rsidP="00000000" w:rsidRDefault="00000000" w:rsidRPr="00000000" w14:paraId="00000006">
      <w:pPr>
        <w:widowControl w:val="0"/>
        <w:tabs>
          <w:tab w:val="left" w:pos="-1440"/>
          <w:tab w:val="left" w:pos="450"/>
        </w:tabs>
        <w:spacing w:before="0" w:line="240" w:lineRule="auto"/>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7">
      <w:pPr>
        <w:spacing w:before="0" w:line="240" w:lineRule="auto"/>
        <w:contextualSpacing w:val="0"/>
        <w:rPr>
          <w:rFonts w:ascii="Calibri" w:cs="Calibri" w:eastAsia="Calibri" w:hAnsi="Calibri"/>
        </w:rPr>
      </w:pPr>
      <w:r w:rsidDel="00000000" w:rsidR="00000000" w:rsidRPr="00000000">
        <w:rPr>
          <w:rFonts w:ascii="Calibri" w:cs="Calibri" w:eastAsia="Calibri" w:hAnsi="Calibri"/>
          <w:sz w:val="24"/>
          <w:szCs w:val="24"/>
          <w:rtl w:val="0"/>
        </w:rPr>
        <w:t xml:space="preserve">The goal of Milan Middle School is to improve student learning by reporting grades that are accurate, consistent, meaningful, and supportive of learning. </w:t>
      </w:r>
      <w:r w:rsidDel="00000000" w:rsidR="00000000" w:rsidRPr="00000000">
        <w:rPr>
          <w:rtl w:val="0"/>
        </w:rPr>
      </w:r>
    </w:p>
    <w:p w:rsidR="00000000" w:rsidDel="00000000" w:rsidP="00000000" w:rsidRDefault="00000000" w:rsidRPr="00000000" w14:paraId="00000008">
      <w:pPr>
        <w:pStyle w:val="Heading2"/>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bookmarkStart w:colFirst="0" w:colLast="0" w:name="_ds8qbibrasl0" w:id="6"/>
      <w:bookmarkEnd w:id="6"/>
      <w:r w:rsidDel="00000000" w:rsidR="00000000" w:rsidRPr="00000000">
        <w:rPr>
          <w:rFonts w:ascii="Calibri" w:cs="Calibri" w:eastAsia="Calibri" w:hAnsi="Calibri"/>
          <w:rtl w:val="0"/>
        </w:rPr>
        <w:t xml:space="preserve">Our Approach</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tabs>
          <w:tab w:val="left" w:pos="-1440"/>
          <w:tab w:val="left" w:pos="450"/>
        </w:tabs>
        <w:spacing w:before="0" w:line="240" w:lineRule="auto"/>
        <w:contextualSpacing w:val="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tabs>
          <w:tab w:val="left" w:pos="-1440"/>
          <w:tab w:val="left" w:pos="450"/>
        </w:tabs>
        <w:spacing w:before="0"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Grades need to be meaningful and accurate. Research supports aligning grading and reporting to standards.  The purpose of standards-based grading is to improve student achievement on the essential standards. This measures the mastery of the learning targets and understanding the standards. As we are basing students’ grades on standards for each discipline, final grades are first and foremost determined by our teac</w:t>
      </w:r>
      <w:r w:rsidDel="00000000" w:rsidR="00000000" w:rsidRPr="00000000">
        <w:rPr>
          <w:rFonts w:ascii="Calibri" w:cs="Calibri" w:eastAsia="Calibri" w:hAnsi="Calibri"/>
          <w:sz w:val="24"/>
          <w:szCs w:val="24"/>
          <w:rtl w:val="0"/>
        </w:rPr>
        <w:t xml:space="preserve">her’s </w:t>
      </w:r>
      <w:r w:rsidDel="00000000" w:rsidR="00000000" w:rsidRPr="00000000">
        <w:rPr>
          <w:rFonts w:ascii="Calibri" w:cs="Calibri" w:eastAsia="Calibri" w:hAnsi="Calibri"/>
          <w:sz w:val="24"/>
          <w:szCs w:val="24"/>
          <w:rtl w:val="0"/>
        </w:rPr>
        <w:t xml:space="preserve">professional opinion of your child’s work against those standards. Teachers use evidence of student learning using a variety of methods. Please don’t hesitate to inquire how grades for your student were determ</w:t>
      </w:r>
      <w:r w:rsidDel="00000000" w:rsidR="00000000" w:rsidRPr="00000000">
        <w:rPr>
          <w:rFonts w:ascii="Calibri" w:cs="Calibri" w:eastAsia="Calibri" w:hAnsi="Calibri"/>
          <w:sz w:val="24"/>
          <w:szCs w:val="24"/>
          <w:rtl w:val="0"/>
        </w:rPr>
        <w:t xml:space="preserve">ined i</w:t>
      </w:r>
      <w:r w:rsidDel="00000000" w:rsidR="00000000" w:rsidRPr="00000000">
        <w:rPr>
          <w:rFonts w:ascii="Calibri" w:cs="Calibri" w:eastAsia="Calibri" w:hAnsi="Calibri"/>
          <w:sz w:val="24"/>
          <w:szCs w:val="24"/>
          <w:rtl w:val="0"/>
        </w:rPr>
        <w:t xml:space="preserve">f you are unsure.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Table of Contents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Standards Based Grading Introduction:</w:t>
        <w:tab/>
        <w:t xml:space="preserve">3-4</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Building Grading Principles and Practices:</w:t>
        <w:tab/>
        <w:t xml:space="preserve">4-5</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Grade Calculations:</w:t>
        <w:tab/>
        <w:tab/>
        <w:tab/>
        <w:tab/>
        <w:t xml:space="preserve">6</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Traditional vs. Standards-Based Grading: </w:t>
        <w:tab/>
        <w:t xml:space="preserve">7-8</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Grading and Assessment Definitions:</w:t>
        <w:tab/>
        <w:tab/>
        <w:t xml:space="preserve">9</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Questions and Answers:</w:t>
        <w:tab/>
        <w:tab/>
        <w:tab/>
        <w:tab/>
        <w:t xml:space="preserve">10-12</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Understanding Rubrics:</w:t>
        <w:tab/>
        <w:tab/>
        <w:tab/>
        <w:tab/>
        <w:t xml:space="preserve">13</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Standards-Based Grading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Standards-based grading measures the mastery and depth of knowledge of the learning objectives. It is based on a specific set of standards that students need to meet for each grade/content level. Marks are not a comparison of one student to another, but rather a way to measure how well students are doing on grade-level/course level standards. A standards-based approach allows parents and students to understand more clearly what is expected of students and how to help them be successful in their educational program.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Goal of Standards-Based Grading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primary goal of standards-based grading is to improve student achievement by focusing instruction and the alignment of curriculum with the essential standards.</w:t>
      </w:r>
      <w:r w:rsidDel="00000000" w:rsidR="00000000" w:rsidRPr="00000000">
        <w:rPr>
          <w:rFonts w:ascii="Calibri" w:cs="Calibri" w:eastAsia="Calibri" w:hAnsi="Calibri"/>
          <w:sz w:val="24"/>
          <w:szCs w:val="24"/>
          <w:rtl w:val="0"/>
        </w:rPr>
        <w:t xml:space="preserve"> Standards-based grading and reporting will provide better communication to students, parents, </w:t>
      </w:r>
      <w:r w:rsidDel="00000000" w:rsidR="00000000" w:rsidRPr="00000000">
        <w:rPr>
          <w:rFonts w:ascii="Calibri" w:cs="Calibri" w:eastAsia="Calibri" w:hAnsi="Calibri"/>
          <w:sz w:val="24"/>
          <w:szCs w:val="24"/>
          <w:rtl w:val="0"/>
        </w:rPr>
        <w:t xml:space="preserve">teachers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and administrators on what each student knows and is able to do according to the identified standards.  </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Standards-Based Grading at MMS</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goal of Milan Middle School is to improve student learning by reporting grades that are accurate, consistent, meaningful, and supportive of learning.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u w:val="single"/>
          <w:rtl w:val="0"/>
        </w:rPr>
        <w:t xml:space="preserve">Accurate</w:t>
      </w:r>
      <w:r w:rsidDel="00000000" w:rsidR="00000000" w:rsidRPr="00000000">
        <w:rPr>
          <w:rFonts w:ascii="Calibri" w:cs="Calibri" w:eastAsia="Calibri" w:hAnsi="Calibri"/>
          <w:rtl w:val="0"/>
        </w:rPr>
        <w:t xml:space="preserve">: By basing a student’s grade solely on academic factors, the teacher creates a clear picture of what the student has learned without the influence of other factors. These other factors, such as effort and attitude, are still essential, but are not part of the student’s academic grade and are communicated separately.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u w:val="single"/>
          <w:rtl w:val="0"/>
        </w:rPr>
        <w:t xml:space="preserve">Consistent</w:t>
      </w:r>
      <w:r w:rsidDel="00000000" w:rsidR="00000000" w:rsidRPr="00000000">
        <w:rPr>
          <w:rFonts w:ascii="Calibri" w:cs="Calibri" w:eastAsia="Calibri" w:hAnsi="Calibri"/>
          <w:rtl w:val="0"/>
        </w:rPr>
        <w:t xml:space="preserve">: For each unit, the teacher will provide a rubric that describes exactly what the student will need to master. The rubrics establish clear expectations for mastery at the beginning of a unit and are referenced consistently throughout the unit and semester.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u w:val="single"/>
          <w:rtl w:val="0"/>
        </w:rPr>
        <w:t xml:space="preserve">Meaningful</w:t>
      </w:r>
      <w:r w:rsidDel="00000000" w:rsidR="00000000" w:rsidRPr="00000000">
        <w:rPr>
          <w:rFonts w:ascii="Calibri" w:cs="Calibri" w:eastAsia="Calibri" w:hAnsi="Calibri"/>
          <w:rtl w:val="0"/>
        </w:rPr>
        <w:t xml:space="preserve">: A meaningful grade is one that clearly communicates what learning has taken place. In a standards-based classroom, scores are recorded by the essential outcomes rather than by type, such as tests or homework, making it easier to identify areas of strength and to address areas of concern for each student.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Fonts w:ascii="Calibri" w:cs="Calibri" w:eastAsia="Calibri" w:hAnsi="Calibri"/>
          <w:u w:val="single"/>
          <w:rtl w:val="0"/>
        </w:rPr>
        <w:t xml:space="preserve">Supportive of Learning</w:t>
      </w:r>
      <w:r w:rsidDel="00000000" w:rsidR="00000000" w:rsidRPr="00000000">
        <w:rPr>
          <w:rFonts w:ascii="Calibri" w:cs="Calibri" w:eastAsia="Calibri" w:hAnsi="Calibri"/>
          <w:rtl w:val="0"/>
        </w:rPr>
        <w:t xml:space="preserve">: This approach supports learning by focusing on the material that has or has not been learned rather than on accumulating points to reach a certain total. The reassessment policy also supports student learning by allowing new levels of learning to replace old when a student shows improvement on an </w:t>
      </w:r>
      <w:r w:rsidDel="00000000" w:rsidR="00000000" w:rsidRPr="00000000">
        <w:rPr>
          <w:rFonts w:ascii="Calibri" w:cs="Calibri" w:eastAsia="Calibri" w:hAnsi="Calibri"/>
          <w:rtl w:val="0"/>
        </w:rPr>
        <w:t xml:space="preserve">outcome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B">
      <w:pPr>
        <w:contextualSpacing w:val="0"/>
        <w:jc w:val="center"/>
        <w:rPr>
          <w:rFonts w:ascii="Calibri" w:cs="Calibri" w:eastAsia="Calibri" w:hAnsi="Calibri"/>
          <w:b w:val="1"/>
          <w:color w:val="434343"/>
          <w:sz w:val="24"/>
          <w:szCs w:val="24"/>
        </w:rPr>
      </w:pPr>
      <w:r w:rsidDel="00000000" w:rsidR="00000000" w:rsidRPr="00000000">
        <w:rPr>
          <w:rFonts w:ascii="Calibri" w:cs="Calibri" w:eastAsia="Calibri" w:hAnsi="Calibri"/>
          <w:b w:val="1"/>
          <w:color w:val="434343"/>
          <w:sz w:val="24"/>
          <w:szCs w:val="24"/>
          <w:rtl w:val="0"/>
        </w:rPr>
        <w:t xml:space="preserve">MMS SBG Principles</w:t>
      </w:r>
    </w:p>
    <w:p w:rsidR="00000000" w:rsidDel="00000000" w:rsidP="00000000" w:rsidRDefault="00000000" w:rsidRPr="00000000" w14:paraId="0000002C">
      <w:pPr>
        <w:widowControl w:val="0"/>
        <w:spacing w:before="0" w:lineRule="auto"/>
        <w:contextualSpacing w:val="0"/>
        <w:rPr>
          <w:rFonts w:ascii="Arial" w:cs="Arial" w:eastAsia="Arial" w:hAnsi="Arial"/>
          <w:color w:val="000000"/>
        </w:rPr>
      </w:pPr>
      <w:r w:rsidDel="00000000" w:rsidR="00000000" w:rsidRPr="00000000">
        <w:rPr>
          <w:rtl w:val="0"/>
        </w:rPr>
      </w:r>
    </w:p>
    <w:tbl>
      <w:tblPr>
        <w:tblStyle w:val="Table1"/>
        <w:tblW w:w="11415.0" w:type="dxa"/>
        <w:jc w:val="left"/>
        <w:tblInd w:w="-8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45"/>
        <w:gridCol w:w="6570"/>
        <w:tblGridChange w:id="0">
          <w:tblGrid>
            <w:gridCol w:w="4845"/>
            <w:gridCol w:w="6570"/>
          </w:tblGrid>
        </w:tblGridChange>
      </w:tblGrid>
      <w:tr>
        <w:tc>
          <w:tcPr>
            <w:shd w:fill="cccccc" w:val="clear"/>
            <w:tcMar>
              <w:top w:w="100.0" w:type="dxa"/>
              <w:left w:w="100.0" w:type="dxa"/>
              <w:bottom w:w="100.0" w:type="dxa"/>
              <w:right w:w="100.0" w:type="dxa"/>
            </w:tcMar>
            <w:vAlign w:val="top"/>
          </w:tcPr>
          <w:p w:rsidR="00000000" w:rsidDel="00000000" w:rsidP="00000000" w:rsidRDefault="00000000" w:rsidRPr="00000000" w14:paraId="0000002D">
            <w:pPr>
              <w:widowControl w:val="0"/>
              <w:spacing w:before="0"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Guiding Principles: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2E">
            <w:pPr>
              <w:widowControl w:val="0"/>
              <w:spacing w:before="0"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Practices/Descriptions: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after="200" w:before="0"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learn at different speeds and ways; fair isn’t always equal.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numPr>
                <w:ilvl w:val="0"/>
                <w:numId w:val="5"/>
              </w:numPr>
              <w:spacing w:before="0" w:line="240" w:lineRule="auto"/>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Adjust for students that need more or less support to meet learning objectives</w:t>
            </w:r>
          </w:p>
          <w:p w:rsidR="00000000" w:rsidDel="00000000" w:rsidP="00000000" w:rsidRDefault="00000000" w:rsidRPr="00000000" w14:paraId="00000031">
            <w:pPr>
              <w:widowControl w:val="0"/>
              <w:numPr>
                <w:ilvl w:val="0"/>
                <w:numId w:val="5"/>
              </w:numPr>
              <w:spacing w:before="0" w:line="240" w:lineRule="auto"/>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Encourage students to redo assignments</w:t>
            </w:r>
          </w:p>
          <w:p w:rsidR="00000000" w:rsidDel="00000000" w:rsidP="00000000" w:rsidRDefault="00000000" w:rsidRPr="00000000" w14:paraId="00000032">
            <w:pPr>
              <w:widowControl w:val="0"/>
              <w:numPr>
                <w:ilvl w:val="0"/>
                <w:numId w:val="5"/>
              </w:numPr>
              <w:spacing w:before="0" w:line="240" w:lineRule="auto"/>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Use formative assessments to make sure teaching matches needs</w:t>
            </w:r>
          </w:p>
          <w:p w:rsidR="00000000" w:rsidDel="00000000" w:rsidP="00000000" w:rsidRDefault="00000000" w:rsidRPr="00000000" w14:paraId="00000033">
            <w:pPr>
              <w:widowControl w:val="0"/>
              <w:numPr>
                <w:ilvl w:val="0"/>
                <w:numId w:val="5"/>
              </w:numPr>
              <w:spacing w:before="0" w:line="240" w:lineRule="auto"/>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Use varied instructional approaches to match student needs</w:t>
            </w:r>
          </w:p>
          <w:p w:rsidR="00000000" w:rsidDel="00000000" w:rsidP="00000000" w:rsidRDefault="00000000" w:rsidRPr="00000000" w14:paraId="00000034">
            <w:pPr>
              <w:widowControl w:val="0"/>
              <w:numPr>
                <w:ilvl w:val="0"/>
                <w:numId w:val="5"/>
              </w:numPr>
              <w:spacing w:before="0" w:line="240" w:lineRule="auto"/>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Use developmentally appropriate assessments and practices</w:t>
            </w:r>
          </w:p>
          <w:p w:rsidR="00000000" w:rsidDel="00000000" w:rsidP="00000000" w:rsidRDefault="00000000" w:rsidRPr="00000000" w14:paraId="00000035">
            <w:pPr>
              <w:widowControl w:val="0"/>
              <w:numPr>
                <w:ilvl w:val="0"/>
                <w:numId w:val="5"/>
              </w:numPr>
              <w:spacing w:before="0" w:line="240" w:lineRule="auto"/>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Report grades that reflect what students know and can do after learning cycles, not the routes taken to get there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spacing w:after="200" w:before="0"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should teach for subject mastery, not short-term memory; however, some concepts must be memorized to advance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numPr>
                <w:ilvl w:val="0"/>
                <w:numId w:val="1"/>
              </w:numPr>
              <w:spacing w:before="0" w:line="240" w:lineRule="auto"/>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Avoid assessments that only ask for basic recall.</w:t>
            </w:r>
          </w:p>
          <w:p w:rsidR="00000000" w:rsidDel="00000000" w:rsidP="00000000" w:rsidRDefault="00000000" w:rsidRPr="00000000" w14:paraId="00000038">
            <w:pPr>
              <w:widowControl w:val="0"/>
              <w:numPr>
                <w:ilvl w:val="0"/>
                <w:numId w:val="1"/>
              </w:numPr>
              <w:spacing w:before="0" w:line="240" w:lineRule="auto"/>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Ask students to apply, adapt, and reimagine what they are learning to ensure that their understanding is both broad and deep</w:t>
            </w:r>
          </w:p>
          <w:p w:rsidR="00000000" w:rsidDel="00000000" w:rsidP="00000000" w:rsidRDefault="00000000" w:rsidRPr="00000000" w14:paraId="00000039">
            <w:pPr>
              <w:widowControl w:val="0"/>
              <w:numPr>
                <w:ilvl w:val="0"/>
                <w:numId w:val="1"/>
              </w:numPr>
              <w:spacing w:before="0" w:line="240" w:lineRule="auto"/>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Spiral curriculum to give students opportunities to demonstrate mastery</w:t>
            </w:r>
          </w:p>
          <w:p w:rsidR="00000000" w:rsidDel="00000000" w:rsidP="00000000" w:rsidRDefault="00000000" w:rsidRPr="00000000" w14:paraId="0000003A">
            <w:pPr>
              <w:widowControl w:val="0"/>
              <w:numPr>
                <w:ilvl w:val="0"/>
                <w:numId w:val="1"/>
              </w:numPr>
              <w:spacing w:before="0" w:line="240" w:lineRule="auto"/>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Teach memorization techniques for information for tools formulas, facts, and definitions that are necessary when making connections to advance learning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after="200" w:before="0"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Classrooms should cultivate creativity and innovation.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numPr>
                <w:ilvl w:val="0"/>
                <w:numId w:val="3"/>
              </w:numPr>
              <w:spacing w:before="0" w:line="240" w:lineRule="auto"/>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Embrace differences in students</w:t>
            </w:r>
          </w:p>
          <w:p w:rsidR="00000000" w:rsidDel="00000000" w:rsidP="00000000" w:rsidRDefault="00000000" w:rsidRPr="00000000" w14:paraId="0000003D">
            <w:pPr>
              <w:widowControl w:val="0"/>
              <w:numPr>
                <w:ilvl w:val="0"/>
                <w:numId w:val="3"/>
              </w:numPr>
              <w:spacing w:before="0" w:line="240" w:lineRule="auto"/>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Encourage students to incorporate their own voices and experiences into their learning and outcomes</w:t>
            </w:r>
          </w:p>
          <w:p w:rsidR="00000000" w:rsidDel="00000000" w:rsidP="00000000" w:rsidRDefault="00000000" w:rsidRPr="00000000" w14:paraId="0000003E">
            <w:pPr>
              <w:widowControl w:val="0"/>
              <w:numPr>
                <w:ilvl w:val="0"/>
                <w:numId w:val="3"/>
              </w:numPr>
              <w:spacing w:before="0" w:line="240" w:lineRule="auto"/>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Model creativity and innovation for students</w:t>
            </w:r>
          </w:p>
          <w:p w:rsidR="00000000" w:rsidDel="00000000" w:rsidP="00000000" w:rsidRDefault="00000000" w:rsidRPr="00000000" w14:paraId="0000003F">
            <w:pPr>
              <w:widowControl w:val="0"/>
              <w:numPr>
                <w:ilvl w:val="0"/>
                <w:numId w:val="3"/>
              </w:numPr>
              <w:spacing w:before="0" w:line="240" w:lineRule="auto"/>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Celebrate student creativity and innovation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spacing w:before="0"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take ownership of their learning; whoever does the editing does the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numPr>
                <w:ilvl w:val="0"/>
                <w:numId w:val="4"/>
              </w:numPr>
              <w:spacing w:before="0" w:line="240" w:lineRule="auto"/>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Encourage students to challenge thinking using reasoning and evidence</w:t>
            </w:r>
          </w:p>
          <w:p w:rsidR="00000000" w:rsidDel="00000000" w:rsidP="00000000" w:rsidRDefault="00000000" w:rsidRPr="00000000" w14:paraId="00000042">
            <w:pPr>
              <w:widowControl w:val="0"/>
              <w:numPr>
                <w:ilvl w:val="0"/>
                <w:numId w:val="4"/>
              </w:numPr>
              <w:spacing w:before="0" w:line="240" w:lineRule="auto"/>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Facilitate student exploration of both the larger perspective and next steps to learning </w:t>
            </w:r>
          </w:p>
          <w:p w:rsidR="00000000" w:rsidDel="00000000" w:rsidP="00000000" w:rsidRDefault="00000000" w:rsidRPr="00000000" w14:paraId="00000043">
            <w:pPr>
              <w:widowControl w:val="0"/>
              <w:numPr>
                <w:ilvl w:val="0"/>
                <w:numId w:val="4"/>
              </w:numPr>
              <w:spacing w:before="0" w:line="240" w:lineRule="auto"/>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Guide students in correcting their own work</w:t>
            </w:r>
          </w:p>
          <w:p w:rsidR="00000000" w:rsidDel="00000000" w:rsidP="00000000" w:rsidRDefault="00000000" w:rsidRPr="00000000" w14:paraId="00000044">
            <w:pPr>
              <w:widowControl w:val="0"/>
              <w:numPr>
                <w:ilvl w:val="0"/>
                <w:numId w:val="4"/>
              </w:numPr>
              <w:spacing w:before="0" w:line="240" w:lineRule="auto"/>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Include opportunities for peer and self critique by using expectations and rubrics</w:t>
            </w:r>
          </w:p>
        </w:tc>
      </w:tr>
      <w:tr>
        <w:trPr>
          <w:trHeight w:val="16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spacing w:after="200" w:before="0"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Grades are communication, not compensation. Anything that diminishes the accuracy of a grade should be removed from our grading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numPr>
                <w:ilvl w:val="0"/>
                <w:numId w:val="6"/>
              </w:numPr>
              <w:spacing w:after="200" w:before="0" w:line="240" w:lineRule="auto"/>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Assess multiple times to establish patterns of learning</w:t>
            </w:r>
          </w:p>
          <w:p w:rsidR="00000000" w:rsidDel="00000000" w:rsidP="00000000" w:rsidRDefault="00000000" w:rsidRPr="00000000" w14:paraId="00000047">
            <w:pPr>
              <w:numPr>
                <w:ilvl w:val="0"/>
                <w:numId w:val="6"/>
              </w:numPr>
              <w:spacing w:after="200" w:before="0" w:line="240" w:lineRule="auto"/>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Use the four-point MMS rubric/scale</w:t>
            </w:r>
          </w:p>
          <w:p w:rsidR="00000000" w:rsidDel="00000000" w:rsidP="00000000" w:rsidRDefault="00000000" w:rsidRPr="00000000" w14:paraId="00000048">
            <w:pPr>
              <w:numPr>
                <w:ilvl w:val="0"/>
                <w:numId w:val="6"/>
              </w:numPr>
              <w:spacing w:after="200" w:before="0" w:line="240" w:lineRule="auto"/>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Emphasize descriptive feedback on evidence provided</w:t>
            </w:r>
          </w:p>
          <w:p w:rsidR="00000000" w:rsidDel="00000000" w:rsidP="00000000" w:rsidRDefault="00000000" w:rsidRPr="00000000" w14:paraId="00000049">
            <w:pPr>
              <w:numPr>
                <w:ilvl w:val="0"/>
                <w:numId w:val="6"/>
              </w:numPr>
              <w:spacing w:before="0" w:line="240"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Use only evidence of performance that is based on the standards (no extra credit, reading minutes, behavior, supplies, class participation, neatness of notebooks, homework, attendance, effort, etc.) </w:t>
            </w:r>
          </w:p>
          <w:p w:rsidR="00000000" w:rsidDel="00000000" w:rsidP="00000000" w:rsidRDefault="00000000" w:rsidRPr="00000000" w14:paraId="0000004A">
            <w:pPr>
              <w:numPr>
                <w:ilvl w:val="0"/>
                <w:numId w:val="6"/>
              </w:numPr>
              <w:spacing w:before="0" w:line="240"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Grade based on skill, not on task completion </w:t>
            </w:r>
          </w:p>
          <w:p w:rsidR="00000000" w:rsidDel="00000000" w:rsidP="00000000" w:rsidRDefault="00000000" w:rsidRPr="00000000" w14:paraId="0000004B">
            <w:pPr>
              <w:widowControl w:val="0"/>
              <w:numPr>
                <w:ilvl w:val="0"/>
                <w:numId w:val="6"/>
              </w:numPr>
              <w:spacing w:before="0" w:line="240" w:lineRule="auto"/>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Make sure that grades are an accurate report of evidence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spacing w:after="200" w:before="0"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and teachers should practice a growth mindset by recognizing a failure is an opportunity to learn.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numPr>
                <w:ilvl w:val="0"/>
                <w:numId w:val="2"/>
              </w:numPr>
              <w:spacing w:before="0" w:line="240" w:lineRule="auto"/>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Encourage our students to embrace the process, not the outcome</w:t>
            </w:r>
          </w:p>
          <w:p w:rsidR="00000000" w:rsidDel="00000000" w:rsidP="00000000" w:rsidRDefault="00000000" w:rsidRPr="00000000" w14:paraId="0000004E">
            <w:pPr>
              <w:widowControl w:val="0"/>
              <w:numPr>
                <w:ilvl w:val="0"/>
                <w:numId w:val="2"/>
              </w:numPr>
              <w:spacing w:before="0" w:line="240" w:lineRule="auto"/>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Embolden our students to evaluate situations, challenge themselves, and take risks</w:t>
            </w:r>
          </w:p>
          <w:p w:rsidR="00000000" w:rsidDel="00000000" w:rsidP="00000000" w:rsidRDefault="00000000" w:rsidRPr="00000000" w14:paraId="0000004F">
            <w:pPr>
              <w:widowControl w:val="0"/>
              <w:numPr>
                <w:ilvl w:val="0"/>
                <w:numId w:val="2"/>
              </w:numPr>
              <w:spacing w:before="0" w:line="240" w:lineRule="auto"/>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Embrace the power of “Yet” (i.e. “eventually I will/can”)</w:t>
            </w:r>
          </w:p>
        </w:tc>
      </w:tr>
    </w:tbl>
    <w:p w:rsidR="00000000" w:rsidDel="00000000" w:rsidP="00000000" w:rsidRDefault="00000000" w:rsidRPr="00000000" w14:paraId="00000050">
      <w:pPr>
        <w:widowControl w:val="0"/>
        <w:spacing w:before="0" w:lineRule="auto"/>
        <w:contextualSpacing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1">
      <w:pPr>
        <w:widowControl w:val="0"/>
        <w:spacing w:before="0" w:lineRule="auto"/>
        <w:contextualSpacing w:val="0"/>
        <w:rPr>
          <w:rFonts w:ascii="Calibri" w:cs="Calibri" w:eastAsia="Calibri" w:hAnsi="Calibri"/>
          <w:b w:val="1"/>
          <w:color w:val="434343"/>
          <w:sz w:val="24"/>
          <w:szCs w:val="24"/>
        </w:rPr>
      </w:pPr>
      <w:r w:rsidDel="00000000" w:rsidR="00000000" w:rsidRPr="00000000">
        <w:rPr>
          <w:rtl w:val="0"/>
        </w:rPr>
      </w:r>
    </w:p>
    <w:p w:rsidR="00000000" w:rsidDel="00000000" w:rsidP="00000000" w:rsidRDefault="00000000" w:rsidRPr="00000000" w14:paraId="00000052">
      <w:pPr>
        <w:widowControl w:val="0"/>
        <w:spacing w:before="0" w:lineRule="auto"/>
        <w:contextualSpacing w:val="0"/>
        <w:rPr>
          <w:rFonts w:ascii="Calibri" w:cs="Calibri" w:eastAsia="Calibri" w:hAnsi="Calibri"/>
          <w:b w:val="1"/>
          <w:color w:val="434343"/>
          <w:sz w:val="24"/>
          <w:szCs w:val="24"/>
        </w:rPr>
      </w:pPr>
      <w:r w:rsidDel="00000000" w:rsidR="00000000" w:rsidRPr="00000000">
        <w:rPr>
          <w:rtl w:val="0"/>
        </w:rPr>
      </w:r>
    </w:p>
    <w:p w:rsidR="00000000" w:rsidDel="00000000" w:rsidP="00000000" w:rsidRDefault="00000000" w:rsidRPr="00000000" w14:paraId="00000053">
      <w:pPr>
        <w:widowControl w:val="0"/>
        <w:spacing w:before="0" w:lineRule="auto"/>
        <w:contextualSpacing w:val="0"/>
        <w:rPr>
          <w:rFonts w:ascii="Calibri" w:cs="Calibri" w:eastAsia="Calibri" w:hAnsi="Calibri"/>
          <w:b w:val="1"/>
          <w:color w:val="434343"/>
          <w:sz w:val="24"/>
          <w:szCs w:val="24"/>
        </w:rPr>
      </w:pPr>
      <w:r w:rsidDel="00000000" w:rsidR="00000000" w:rsidRPr="00000000">
        <w:rPr>
          <w:rtl w:val="0"/>
        </w:rPr>
      </w:r>
    </w:p>
    <w:p w:rsidR="00000000" w:rsidDel="00000000" w:rsidP="00000000" w:rsidRDefault="00000000" w:rsidRPr="00000000" w14:paraId="00000054">
      <w:pPr>
        <w:widowControl w:val="0"/>
        <w:spacing w:before="0" w:lineRule="auto"/>
        <w:contextualSpacing w:val="0"/>
        <w:rPr>
          <w:rFonts w:ascii="Calibri" w:cs="Calibri" w:eastAsia="Calibri" w:hAnsi="Calibri"/>
          <w:b w:val="1"/>
          <w:color w:val="434343"/>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Building Grading Practices</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220" w:before="0" w:line="288.05400000000003" w:lineRule="auto"/>
        <w:contextualSpacing w:val="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Guidelines</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220" w:before="220" w:line="288.05400000000003" w:lineRule="auto"/>
        <w:ind w:right="220"/>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Grades will be based on proficiency scales which are co</w:t>
      </w:r>
      <w:r w:rsidDel="00000000" w:rsidR="00000000" w:rsidRPr="00000000">
        <w:rPr>
          <w:rFonts w:ascii="Calibri" w:cs="Calibri" w:eastAsia="Calibri" w:hAnsi="Calibri"/>
          <w:sz w:val="24"/>
          <w:szCs w:val="24"/>
          <w:highlight w:val="white"/>
          <w:rtl w:val="0"/>
        </w:rPr>
        <w:t xml:space="preserve">nnected t</w:t>
      </w:r>
      <w:r w:rsidDel="00000000" w:rsidR="00000000" w:rsidRPr="00000000">
        <w:rPr>
          <w:rFonts w:ascii="Calibri" w:cs="Calibri" w:eastAsia="Calibri" w:hAnsi="Calibri"/>
          <w:sz w:val="24"/>
          <w:szCs w:val="24"/>
          <w:highlight w:val="white"/>
          <w:rtl w:val="0"/>
        </w:rPr>
        <w:t xml:space="preserve">o prioritized standards. </w:t>
      </w:r>
      <w:r w:rsidDel="00000000" w:rsidR="00000000" w:rsidRPr="00000000">
        <w:rPr>
          <w:rFonts w:ascii="Calibri" w:cs="Calibri" w:eastAsia="Calibri" w:hAnsi="Calibri"/>
          <w:sz w:val="24"/>
          <w:szCs w:val="24"/>
          <w:highlight w:val="white"/>
          <w:rtl w:val="0"/>
        </w:rPr>
        <w:t xml:space="preserve">Entries in the grade book that count towards the final grade will be limited to course or grade level standards.</w:t>
      </w:r>
      <w:r w:rsidDel="00000000" w:rsidR="00000000" w:rsidRPr="00000000">
        <w:rPr>
          <w:rtl w:val="0"/>
        </w:rPr>
      </w:r>
    </w:p>
    <w:p w:rsidR="00000000" w:rsidDel="00000000" w:rsidP="00000000" w:rsidRDefault="00000000" w:rsidRPr="00000000" w14:paraId="00000059">
      <w:pPr>
        <w:numPr>
          <w:ilvl w:val="0"/>
          <w:numId w:val="7"/>
        </w:numPr>
        <w:pBdr>
          <w:top w:space="0" w:sz="0" w:val="nil"/>
          <w:left w:space="0" w:sz="0" w:val="nil"/>
          <w:bottom w:space="0" w:sz="0" w:val="nil"/>
          <w:right w:space="0" w:sz="0" w:val="nil"/>
          <w:between w:space="0" w:sz="0" w:val="nil"/>
        </w:pBdr>
        <w:shd w:fill="auto" w:val="clear"/>
        <w:spacing w:after="220" w:before="220" w:line="240" w:lineRule="auto"/>
        <w:ind w:left="720" w:right="220" w:hanging="360"/>
        <w:contextualSpacing w:val="1"/>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Extra credit will not be given at any time.</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220" w:before="220" w:line="240" w:lineRule="auto"/>
        <w:ind w:right="220"/>
        <w:contextualSpacing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5B">
      <w:pPr>
        <w:numPr>
          <w:ilvl w:val="0"/>
          <w:numId w:val="7"/>
        </w:numPr>
        <w:pBdr>
          <w:top w:space="0" w:sz="0" w:val="nil"/>
          <w:left w:space="0" w:sz="0" w:val="nil"/>
          <w:bottom w:space="0" w:sz="0" w:val="nil"/>
          <w:right w:space="0" w:sz="0" w:val="nil"/>
          <w:between w:space="0" w:sz="0" w:val="nil"/>
        </w:pBdr>
        <w:shd w:fill="auto" w:val="clear"/>
        <w:spacing w:after="220" w:before="220" w:line="240" w:lineRule="auto"/>
        <w:ind w:left="720" w:right="220" w:hanging="360"/>
        <w:contextualSpacing w:val="1"/>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Reassessment opportunities are important for all students. Students will be allowed multiple opportunities to demonstrate their understanding of classroom standards in various ways. Retakes and revisions will be allowed.</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220" w:before="220" w:line="240" w:lineRule="auto"/>
        <w:ind w:right="220"/>
        <w:contextualSpacing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5D">
      <w:pPr>
        <w:numPr>
          <w:ilvl w:val="0"/>
          <w:numId w:val="7"/>
        </w:numPr>
        <w:pBdr>
          <w:top w:space="0" w:sz="0" w:val="nil"/>
          <w:left w:space="0" w:sz="0" w:val="nil"/>
          <w:bottom w:space="0" w:sz="0" w:val="nil"/>
          <w:right w:space="0" w:sz="0" w:val="nil"/>
          <w:between w:space="0" w:sz="0" w:val="nil"/>
        </w:pBdr>
        <w:shd w:fill="auto" w:val="clear"/>
        <w:spacing w:after="220" w:before="220" w:line="240" w:lineRule="auto"/>
        <w:ind w:left="720" w:right="220" w:hanging="360"/>
        <w:contextualSpacing w:val="1"/>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Teachers will determine grade book entries by considering multiple points of </w:t>
      </w:r>
      <w:r w:rsidDel="00000000" w:rsidR="00000000" w:rsidRPr="00000000">
        <w:rPr>
          <w:rFonts w:ascii="Calibri" w:cs="Calibri" w:eastAsia="Calibri" w:hAnsi="Calibri"/>
          <w:sz w:val="24"/>
          <w:szCs w:val="24"/>
          <w:highlight w:val="white"/>
          <w:rtl w:val="0"/>
        </w:rPr>
        <w:t xml:space="preserve">data</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emphasizing the most recent </w:t>
      </w:r>
      <w:r w:rsidDel="00000000" w:rsidR="00000000" w:rsidRPr="00000000">
        <w:rPr>
          <w:rFonts w:ascii="Calibri" w:cs="Calibri" w:eastAsia="Calibri" w:hAnsi="Calibri"/>
          <w:sz w:val="24"/>
          <w:szCs w:val="24"/>
          <w:highlight w:val="white"/>
          <w:rtl w:val="0"/>
        </w:rPr>
        <w:t xml:space="preserve">data</w:t>
      </w:r>
      <w:r w:rsidDel="00000000" w:rsidR="00000000" w:rsidRPr="00000000">
        <w:rPr>
          <w:rFonts w:ascii="Calibri" w:cs="Calibri" w:eastAsia="Calibri" w:hAnsi="Calibri"/>
          <w:sz w:val="24"/>
          <w:szCs w:val="24"/>
          <w:highlight w:val="white"/>
          <w:rtl w:val="0"/>
        </w:rPr>
        <w:t xml:space="preserve">, and providing evidence to support their determination.</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220" w:before="220" w:line="240" w:lineRule="auto"/>
        <w:ind w:right="220"/>
        <w:contextualSpacing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5F">
      <w:pPr>
        <w:numPr>
          <w:ilvl w:val="0"/>
          <w:numId w:val="7"/>
        </w:numPr>
        <w:pBdr>
          <w:top w:space="0" w:sz="0" w:val="nil"/>
          <w:left w:space="0" w:sz="0" w:val="nil"/>
          <w:bottom w:space="0" w:sz="0" w:val="nil"/>
          <w:right w:space="0" w:sz="0" w:val="nil"/>
          <w:between w:space="0" w:sz="0" w:val="nil"/>
        </w:pBdr>
        <w:shd w:fill="auto" w:val="clear"/>
        <w:spacing w:after="220" w:before="220" w:line="240" w:lineRule="auto"/>
        <w:ind w:left="720" w:right="220" w:hanging="360"/>
        <w:contextualSpacing w:val="1"/>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Students will be provided multiple opportunities to practice standards independently through homework or other class work. Practice assignments and activities will be consistent with classroom standards for the purpose of providing feedback. Practice assignments, including homework, will not be included as part of the final grade.</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220" w:before="220" w:line="240" w:lineRule="auto"/>
        <w:ind w:right="220"/>
        <w:contextualSpacing w:val="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61">
      <w:pPr>
        <w:numPr>
          <w:ilvl w:val="0"/>
          <w:numId w:val="7"/>
        </w:numPr>
        <w:pBdr>
          <w:top w:space="0" w:sz="0" w:val="nil"/>
          <w:left w:space="0" w:sz="0" w:val="nil"/>
          <w:bottom w:space="0" w:sz="0" w:val="nil"/>
          <w:right w:space="0" w:sz="0" w:val="nil"/>
          <w:between w:space="0" w:sz="0" w:val="nil"/>
        </w:pBdr>
        <w:shd w:fill="auto" w:val="clear"/>
        <w:spacing w:after="220" w:before="220" w:line="240" w:lineRule="auto"/>
        <w:ind w:left="720" w:right="220" w:hanging="360"/>
        <w:contextualSpacing w:val="1"/>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Increased grading consistency schoolwide is important. </w:t>
      </w:r>
      <w:r w:rsidDel="00000000" w:rsidR="00000000" w:rsidRPr="00000000">
        <w:rPr>
          <w:rFonts w:ascii="Calibri" w:cs="Calibri" w:eastAsia="Calibri" w:hAnsi="Calibri"/>
          <w:sz w:val="24"/>
          <w:szCs w:val="24"/>
          <w:highlight w:val="white"/>
          <w:rtl w:val="0"/>
        </w:rPr>
        <w:t xml:space="preserve">Student</w:t>
      </w:r>
      <w:r w:rsidDel="00000000" w:rsidR="00000000" w:rsidRPr="00000000">
        <w:rPr>
          <w:rFonts w:ascii="Calibri" w:cs="Calibri" w:eastAsia="Calibri" w:hAnsi="Calibri"/>
          <w:sz w:val="24"/>
          <w:szCs w:val="24"/>
          <w:highlight w:val="white"/>
          <w:rtl w:val="0"/>
        </w:rPr>
        <w:t xml:space="preserve"> work will be graded on a 4 point scale. Rubrics are used to assess learning on that scale. </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contextualSpacing w:val="0"/>
        <w:rPr>
          <w:rFonts w:ascii="Calibri" w:cs="Calibri" w:eastAsia="Calibri" w:hAnsi="Calibri"/>
          <w:i w:val="1"/>
          <w:sz w:val="24"/>
          <w:szCs w:val="24"/>
          <w:highlight w:val="white"/>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contextualSpacing w:val="0"/>
        <w:rPr>
          <w:rFonts w:ascii="Calibri" w:cs="Calibri" w:eastAsia="Calibri" w:hAnsi="Calibri"/>
          <w:i w:val="1"/>
          <w:sz w:val="24"/>
          <w:szCs w:val="24"/>
          <w:highlight w:val="white"/>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contextualSpacing w:val="0"/>
        <w:jc w:val="center"/>
        <w:rPr>
          <w:rFonts w:ascii="Calibri" w:cs="Calibri" w:eastAsia="Calibri" w:hAnsi="Calibri"/>
          <w:b w:val="1"/>
          <w:color w:val="434343"/>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contextualSpacing w:val="0"/>
        <w:jc w:val="center"/>
        <w:rPr>
          <w:rFonts w:ascii="Calibri" w:cs="Calibri" w:eastAsia="Calibri" w:hAnsi="Calibri"/>
          <w:b w:val="1"/>
          <w:color w:val="434343"/>
          <w:sz w:val="24"/>
          <w:szCs w:val="24"/>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contextualSpacing w:val="0"/>
        <w:jc w:val="center"/>
        <w:rPr>
          <w:rFonts w:ascii="Calibri" w:cs="Calibri" w:eastAsia="Calibri" w:hAnsi="Calibri"/>
          <w:b w:val="1"/>
          <w:color w:val="434343"/>
          <w:sz w:val="24"/>
          <w:szCs w:val="24"/>
        </w:rPr>
      </w:pPr>
      <w:r w:rsidDel="00000000" w:rsidR="00000000" w:rsidRPr="00000000">
        <w:rPr>
          <w:rFonts w:ascii="Calibri" w:cs="Calibri" w:eastAsia="Calibri" w:hAnsi="Calibri"/>
          <w:b w:val="1"/>
          <w:color w:val="434343"/>
          <w:sz w:val="24"/>
          <w:szCs w:val="24"/>
          <w:rtl w:val="0"/>
        </w:rPr>
        <w:t xml:space="preserve">Grading Calculations</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tabs>
          <w:tab w:val="left" w:pos="1332"/>
        </w:tabs>
        <w:spacing w:before="0" w:line="240" w:lineRule="auto"/>
        <w:contextualSpacing w:val="0"/>
        <w:jc w:val="center"/>
        <w:rPr>
          <w:rFonts w:ascii="Calibri" w:cs="Calibri" w:eastAsia="Calibri" w:hAnsi="Calibri"/>
          <w:color w:val="434343"/>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tabs>
          <w:tab w:val="left" w:pos="1332"/>
        </w:tabs>
        <w:spacing w:before="0" w:line="240" w:lineRule="auto"/>
        <w:contextualSpacing w:val="0"/>
        <w:rPr>
          <w:rFonts w:ascii="Calibri" w:cs="Calibri" w:eastAsia="Calibri" w:hAnsi="Calibri"/>
          <w:color w:val="434343"/>
          <w:sz w:val="24"/>
          <w:szCs w:val="24"/>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tabs>
          <w:tab w:val="left" w:pos="5040"/>
          <w:tab w:val="left" w:pos="5760"/>
          <w:tab w:val="left" w:pos="6642"/>
          <w:tab w:val="left" w:pos="7362"/>
        </w:tabs>
        <w:spacing w:before="0" w:line="240" w:lineRule="auto"/>
        <w:contextualSpacing w:val="0"/>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Report cards are mailed home at the end of semester one and the end of the year. All grades are available through PowerSchool.  If you need access to PowerSchool or a password, please contact the office. Please start with the classroom teacher when you have questions or concerns about a grade. The middle school years are a great age to encourage and support your student to advocate when he or she is uncertain or has a concern about his or her grade. </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tabs>
          <w:tab w:val="left" w:pos="5040"/>
          <w:tab w:val="left" w:pos="5760"/>
          <w:tab w:val="left" w:pos="6642"/>
          <w:tab w:val="left" w:pos="7362"/>
        </w:tabs>
        <w:spacing w:before="0" w:line="240" w:lineRule="auto"/>
        <w:contextualSpacing w:val="0"/>
        <w:jc w:val="center"/>
        <w:rPr>
          <w:rFonts w:ascii="Calibri" w:cs="Calibri" w:eastAsia="Calibri" w:hAnsi="Calibri"/>
          <w:color w:val="434343"/>
          <w:sz w:val="24"/>
          <w:szCs w:val="24"/>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tabs>
          <w:tab w:val="left" w:pos="-1440"/>
          <w:tab w:val="left" w:pos="450"/>
        </w:tabs>
        <w:spacing w:before="0" w:line="240" w:lineRule="auto"/>
        <w:contextualSpacing w:val="0"/>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As we are basing students’ grades on standards for each discipline, final grades are first and foremost determined by our tea</w:t>
      </w:r>
      <w:r w:rsidDel="00000000" w:rsidR="00000000" w:rsidRPr="00000000">
        <w:rPr>
          <w:rFonts w:ascii="Calibri" w:cs="Calibri" w:eastAsia="Calibri" w:hAnsi="Calibri"/>
          <w:color w:val="434343"/>
          <w:sz w:val="24"/>
          <w:szCs w:val="24"/>
          <w:rtl w:val="0"/>
        </w:rPr>
        <w:t xml:space="preserve">cher’s profes</w:t>
      </w:r>
      <w:r w:rsidDel="00000000" w:rsidR="00000000" w:rsidRPr="00000000">
        <w:rPr>
          <w:rFonts w:ascii="Calibri" w:cs="Calibri" w:eastAsia="Calibri" w:hAnsi="Calibri"/>
          <w:color w:val="434343"/>
          <w:sz w:val="24"/>
          <w:szCs w:val="24"/>
          <w:rtl w:val="0"/>
        </w:rPr>
        <w:t xml:space="preserve">sional opinion of your child’s work against those standards. Teachers use evidence of student learning with a variety of methods. Please don’t hesitate to inquire how grades for your student were dete</w:t>
      </w:r>
      <w:r w:rsidDel="00000000" w:rsidR="00000000" w:rsidRPr="00000000">
        <w:rPr>
          <w:rFonts w:ascii="Calibri" w:cs="Calibri" w:eastAsia="Calibri" w:hAnsi="Calibri"/>
          <w:color w:val="434343"/>
          <w:sz w:val="24"/>
          <w:szCs w:val="24"/>
          <w:rtl w:val="0"/>
        </w:rPr>
        <w:t xml:space="preserve">rmined if </w:t>
      </w:r>
      <w:r w:rsidDel="00000000" w:rsidR="00000000" w:rsidRPr="00000000">
        <w:rPr>
          <w:rFonts w:ascii="Calibri" w:cs="Calibri" w:eastAsia="Calibri" w:hAnsi="Calibri"/>
          <w:color w:val="434343"/>
          <w:sz w:val="24"/>
          <w:szCs w:val="24"/>
          <w:rtl w:val="0"/>
        </w:rPr>
        <w:t xml:space="preserve">you are unsure.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tabs>
          <w:tab w:val="left" w:pos="-1440"/>
          <w:tab w:val="left" w:pos="450"/>
        </w:tabs>
        <w:spacing w:before="0" w:line="240" w:lineRule="auto"/>
        <w:contextualSpacing w:val="0"/>
        <w:rPr>
          <w:rFonts w:ascii="Calibri" w:cs="Calibri" w:eastAsia="Calibri" w:hAnsi="Calibri"/>
          <w:color w:val="434343"/>
          <w:sz w:val="24"/>
          <w:szCs w:val="24"/>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tabs>
          <w:tab w:val="left" w:pos="-1440"/>
          <w:tab w:val="left" w:pos="450"/>
        </w:tabs>
        <w:spacing w:before="0" w:line="240" w:lineRule="auto"/>
        <w:contextualSpacing w:val="0"/>
        <w:rPr>
          <w:rFonts w:ascii="Calibri" w:cs="Calibri" w:eastAsia="Calibri" w:hAnsi="Calibri"/>
          <w:color w:val="434343"/>
          <w:sz w:val="24"/>
          <w:szCs w:val="24"/>
        </w:rPr>
      </w:pPr>
      <w:r w:rsidDel="00000000" w:rsidR="00000000" w:rsidRPr="00000000">
        <w:rPr>
          <w:rFonts w:ascii="Calibri" w:cs="Calibri" w:eastAsia="Calibri" w:hAnsi="Calibri"/>
          <w:color w:val="434343"/>
          <w:sz w:val="24"/>
          <w:szCs w:val="24"/>
          <w:rtl w:val="0"/>
        </w:rPr>
        <w:t xml:space="preserve">We use a 4 point system. Here is the grade equivalent for that scale that best translates to secondary grading practices and expectations. </w:t>
      </w:r>
    </w:p>
    <w:p w:rsidR="00000000" w:rsidDel="00000000" w:rsidP="00000000" w:rsidRDefault="00000000" w:rsidRPr="00000000" w14:paraId="0000006E">
      <w:pPr>
        <w:spacing w:before="0" w:lineRule="auto"/>
        <w:contextualSpacing w:val="0"/>
        <w:rPr>
          <w:rFonts w:ascii="Arial" w:cs="Arial" w:eastAsia="Arial" w:hAnsi="Arial"/>
          <w:b w:val="1"/>
          <w:color w:val="000000"/>
          <w:sz w:val="36"/>
          <w:szCs w:val="36"/>
        </w:rPr>
      </w:pPr>
      <w:r w:rsidDel="00000000" w:rsidR="00000000" w:rsidRPr="00000000">
        <w:rPr>
          <w:rtl w:val="0"/>
        </w:rPr>
      </w:r>
    </w:p>
    <w:tbl>
      <w:tblPr>
        <w:tblStyle w:val="Table2"/>
        <w:tblW w:w="58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
        <w:gridCol w:w="990"/>
        <w:gridCol w:w="2355"/>
        <w:gridCol w:w="1515"/>
        <w:tblGridChange w:id="0">
          <w:tblGrid>
            <w:gridCol w:w="1035"/>
            <w:gridCol w:w="990"/>
            <w:gridCol w:w="2355"/>
            <w:gridCol w:w="15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Rubric</w:t>
            </w:r>
          </w:p>
          <w:p w:rsidR="00000000" w:rsidDel="00000000" w:rsidP="00000000" w:rsidRDefault="00000000" w:rsidRPr="00000000" w14:paraId="00000070">
            <w:pPr>
              <w:widowControl w:val="0"/>
              <w:spacing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Letter</w:t>
            </w:r>
          </w:p>
          <w:p w:rsidR="00000000" w:rsidDel="00000000" w:rsidP="00000000" w:rsidRDefault="00000000" w:rsidRPr="00000000" w14:paraId="00000072">
            <w:pPr>
              <w:widowControl w:val="0"/>
              <w:spacing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before="0"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Percentage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before="0"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before="0"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before="0"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before="0"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90-100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before="0"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before="0"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before="0"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Proficient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before="0"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80-89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before="0"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before="0"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before="0"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Partially Proficient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before="0"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70-79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before="0"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before="0"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before="0"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Proficient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before="0"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60-69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before="0"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before="0"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before="0"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before="0" w:line="240" w:lineRule="auto"/>
              <w:contextualSpacing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50-59</w:t>
            </w:r>
          </w:p>
        </w:tc>
      </w:tr>
    </w:tbl>
    <w:p w:rsidR="00000000" w:rsidDel="00000000" w:rsidP="00000000" w:rsidRDefault="00000000" w:rsidRPr="00000000" w14:paraId="00000089">
      <w:pPr>
        <w:spacing w:before="0" w:lineRule="auto"/>
        <w:contextualSpacing w:val="0"/>
        <w:jc w:val="left"/>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A">
      <w:pPr>
        <w:spacing w:before="0" w:lineRule="auto"/>
        <w:contextualSpacing w:val="0"/>
        <w:jc w:val="left"/>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B">
      <w:pPr>
        <w:spacing w:before="0" w:lineRule="auto"/>
        <w:contextualSpacing w:val="0"/>
        <w:jc w:val="left"/>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C">
      <w:pPr>
        <w:spacing w:before="0" w:lineRule="auto"/>
        <w:contextualSpacing w:val="0"/>
        <w:jc w:val="left"/>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D">
      <w:pPr>
        <w:spacing w:before="0" w:lineRule="auto"/>
        <w:contextualSpacing w:val="0"/>
        <w:jc w:val="left"/>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E">
      <w:pPr>
        <w:spacing w:before="0" w:lineRule="auto"/>
        <w:contextualSpacing w:val="0"/>
        <w:jc w:val="left"/>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8F">
      <w:pPr>
        <w:spacing w:before="0" w:lineRule="auto"/>
        <w:contextualSpacing w:val="0"/>
        <w:jc w:val="left"/>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0">
      <w:pPr>
        <w:spacing w:before="0" w:lineRule="auto"/>
        <w:contextualSpacing w:val="0"/>
        <w:jc w:val="left"/>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1">
      <w:pPr>
        <w:spacing w:before="0" w:lineRule="auto"/>
        <w:contextualSpacing w:val="0"/>
        <w:jc w:val="left"/>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2">
      <w:pPr>
        <w:spacing w:before="0" w:lineRule="auto"/>
        <w:contextualSpacing w:val="0"/>
        <w:jc w:val="left"/>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contextualSpacing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Traditional vs. Standards-Based Grading</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line="276" w:lineRule="auto"/>
        <w:contextualSpacing w:val="0"/>
        <w:rPr>
          <w:rFonts w:ascii="Calibri" w:cs="Calibri" w:eastAsia="Calibri" w:hAnsi="Calibri"/>
          <w:color w:val="434343"/>
          <w:sz w:val="24"/>
          <w:szCs w:val="24"/>
        </w:rPr>
      </w:pPr>
      <w:r w:rsidDel="00000000" w:rsidR="00000000" w:rsidRPr="00000000">
        <w:rPr>
          <w:rFonts w:ascii="Calibri" w:cs="Calibri" w:eastAsia="Calibri" w:hAnsi="Calibri"/>
          <w:sz w:val="24"/>
          <w:szCs w:val="24"/>
          <w:highlight w:val="white"/>
          <w:rtl w:val="0"/>
        </w:rPr>
        <w:t xml:space="preserve">Standards-based grading informs us what students have actually learned and know. This grading method measures students’ knowledge of grade-level content over time by reporting the most recent, consistent level of performance. A formative assessment which shows that a student has not reached proficiency in a standard does not indicate an area of concern. Students are not expected to know the content until it has been taught to them. As teaching occurs, they will learn and should demonstrate proficient performance by the end of the grading period. In traditional grading, the student’s performance for the whole grading period would be averaged and early quiz scores that were low would be averaged together with proficient performance later in the course resulting in a lower grade</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In standards-based grading, a student who reaches proficiency would be reported proficient and the grade would reflect current performance level. In standards-based grading, factors like attendance, effort, work habits, and attitude will be reported separately in order to give a more accurate report of student progress. </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line="276" w:lineRule="auto"/>
        <w:contextualSpacing w:val="0"/>
        <w:rPr>
          <w:rFonts w:ascii="Calibri" w:cs="Calibri" w:eastAsia="Calibri" w:hAnsi="Calibri"/>
          <w:color w:val="434343"/>
          <w:sz w:val="24"/>
          <w:szCs w:val="24"/>
          <w:highlight w:val="white"/>
        </w:rPr>
      </w:pPr>
      <w:r w:rsidDel="00000000" w:rsidR="00000000" w:rsidRPr="00000000">
        <w:rPr>
          <w:rFonts w:ascii="Calibri" w:cs="Calibri" w:eastAsia="Calibri" w:hAnsi="Calibri"/>
          <w:color w:val="434343"/>
          <w:sz w:val="24"/>
          <w:szCs w:val="24"/>
          <w:highlight w:val="white"/>
          <w:rtl w:val="0"/>
        </w:rPr>
        <w:t xml:space="preserve">Standards-based grading “involves measuring students’ proficiency on well-defined course objectives.” (</w:t>
      </w:r>
      <w:hyperlink r:id="rId7">
        <w:r w:rsidDel="00000000" w:rsidR="00000000" w:rsidRPr="00000000">
          <w:rPr>
            <w:rFonts w:ascii="Calibri" w:cs="Calibri" w:eastAsia="Calibri" w:hAnsi="Calibri"/>
            <w:color w:val="434343"/>
            <w:sz w:val="24"/>
            <w:szCs w:val="24"/>
            <w:highlight w:val="white"/>
            <w:u w:val="single"/>
            <w:rtl w:val="0"/>
          </w:rPr>
          <w:t xml:space="preserve">Tomlinson &amp; McTighe, 2006</w:t>
        </w:r>
      </w:hyperlink>
      <w:r w:rsidDel="00000000" w:rsidR="00000000" w:rsidRPr="00000000">
        <w:rPr>
          <w:rFonts w:ascii="Calibri" w:cs="Calibri" w:eastAsia="Calibri" w:hAnsi="Calibri"/>
          <w:color w:val="434343"/>
          <w:sz w:val="24"/>
          <w:szCs w:val="24"/>
          <w:highlight w:val="white"/>
          <w:rtl w:val="0"/>
        </w:rPr>
        <w:t xml:space="preserve">). (Note: </w:t>
      </w:r>
      <w:r w:rsidDel="00000000" w:rsidR="00000000" w:rsidRPr="00000000">
        <w:rPr>
          <w:rFonts w:ascii="Calibri" w:cs="Calibri" w:eastAsia="Calibri" w:hAnsi="Calibri"/>
          <w:i w:val="1"/>
          <w:color w:val="434343"/>
          <w:sz w:val="24"/>
          <w:szCs w:val="24"/>
          <w:highlight w:val="white"/>
          <w:rtl w:val="0"/>
        </w:rPr>
        <w:t xml:space="preserve">Standards-based reporting</w:t>
      </w:r>
      <w:r w:rsidDel="00000000" w:rsidR="00000000" w:rsidRPr="00000000">
        <w:rPr>
          <w:rFonts w:ascii="Calibri" w:cs="Calibri" w:eastAsia="Calibri" w:hAnsi="Calibri"/>
          <w:color w:val="434343"/>
          <w:sz w:val="24"/>
          <w:szCs w:val="24"/>
          <w:highlight w:val="white"/>
          <w:rtl w:val="0"/>
        </w:rPr>
        <w:t xml:space="preserve"> involves reporting these course objectives rather than letter grades at the end of each grading/reporting period.)</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220" w:before="0" w:line="276" w:lineRule="auto"/>
        <w:contextualSpacing w:val="0"/>
        <w:rPr>
          <w:rFonts w:ascii="Calibri" w:cs="Calibri" w:eastAsia="Calibri" w:hAnsi="Calibri"/>
          <w:color w:val="434343"/>
          <w:sz w:val="24"/>
          <w:szCs w:val="24"/>
          <w:highlight w:val="white"/>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220" w:before="0" w:line="276" w:lineRule="auto"/>
        <w:contextualSpacing w:val="0"/>
        <w:rPr>
          <w:rFonts w:ascii="Calibri" w:cs="Calibri" w:eastAsia="Calibri" w:hAnsi="Calibri"/>
          <w:color w:val="434343"/>
          <w:sz w:val="24"/>
          <w:szCs w:val="24"/>
          <w:highlight w:val="white"/>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after="220" w:before="0" w:line="276" w:lineRule="auto"/>
        <w:contextualSpacing w:val="0"/>
        <w:rPr>
          <w:rFonts w:ascii="Calibri" w:cs="Calibri" w:eastAsia="Calibri" w:hAnsi="Calibri"/>
          <w:color w:val="434343"/>
          <w:sz w:val="24"/>
          <w:szCs w:val="24"/>
          <w:highlight w:val="white"/>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220" w:before="0" w:line="276" w:lineRule="auto"/>
        <w:contextualSpacing w:val="0"/>
        <w:rPr>
          <w:rFonts w:ascii="Calibri" w:cs="Calibri" w:eastAsia="Calibri" w:hAnsi="Calibri"/>
          <w:color w:val="434343"/>
          <w:sz w:val="24"/>
          <w:szCs w:val="24"/>
          <w:highlight w:val="white"/>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220" w:before="0" w:line="360" w:lineRule="auto"/>
        <w:contextualSpacing w:val="0"/>
        <w:rPr>
          <w:rFonts w:ascii="Calibri" w:cs="Calibri" w:eastAsia="Calibri" w:hAnsi="Calibri"/>
          <w:color w:val="434343"/>
          <w:sz w:val="24"/>
          <w:szCs w:val="24"/>
          <w:highlight w:val="white"/>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220" w:before="0" w:line="360" w:lineRule="auto"/>
        <w:contextualSpacing w:val="0"/>
        <w:rPr>
          <w:rFonts w:ascii="Calibri" w:cs="Calibri" w:eastAsia="Calibri" w:hAnsi="Calibri"/>
          <w:color w:val="434343"/>
          <w:sz w:val="24"/>
          <w:szCs w:val="24"/>
          <w:highlight w:val="white"/>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220" w:before="0" w:line="360" w:lineRule="auto"/>
        <w:contextualSpacing w:val="0"/>
        <w:rPr>
          <w:rFonts w:ascii="Calibri" w:cs="Calibri" w:eastAsia="Calibri" w:hAnsi="Calibri"/>
          <w:color w:val="434343"/>
          <w:sz w:val="24"/>
          <w:szCs w:val="24"/>
          <w:highlight w:val="white"/>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after="220" w:before="0" w:line="360" w:lineRule="auto"/>
        <w:contextualSpacing w:val="0"/>
        <w:rPr>
          <w:rFonts w:ascii="Calibri" w:cs="Calibri" w:eastAsia="Calibri" w:hAnsi="Calibri"/>
          <w:color w:val="434343"/>
          <w:sz w:val="24"/>
          <w:szCs w:val="24"/>
          <w:highlight w:val="white"/>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220" w:before="0" w:line="360" w:lineRule="auto"/>
        <w:contextualSpacing w:val="0"/>
        <w:rPr>
          <w:rFonts w:ascii="Calibri" w:cs="Calibri" w:eastAsia="Calibri" w:hAnsi="Calibri"/>
          <w:color w:val="434343"/>
          <w:sz w:val="24"/>
          <w:szCs w:val="24"/>
          <w:highlight w:val="white"/>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220" w:before="0" w:line="360" w:lineRule="auto"/>
        <w:contextualSpacing w:val="0"/>
        <w:rPr>
          <w:rFonts w:ascii="Calibri" w:cs="Calibri" w:eastAsia="Calibri" w:hAnsi="Calibri"/>
          <w:color w:val="434343"/>
          <w:sz w:val="24"/>
          <w:szCs w:val="24"/>
          <w:highlight w:val="white"/>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after="220" w:before="0" w:line="360" w:lineRule="auto"/>
        <w:contextualSpacing w:val="0"/>
        <w:rPr>
          <w:rFonts w:ascii="Calibri" w:cs="Calibri" w:eastAsia="Calibri" w:hAnsi="Calibri"/>
          <w:color w:val="434343"/>
          <w:sz w:val="24"/>
          <w:szCs w:val="24"/>
          <w:highlight w:val="white"/>
        </w:rPr>
      </w:pPr>
      <w:r w:rsidDel="00000000" w:rsidR="00000000" w:rsidRPr="00000000">
        <w:rPr>
          <w:rFonts w:ascii="Calibri" w:cs="Calibri" w:eastAsia="Calibri" w:hAnsi="Calibri"/>
          <w:color w:val="434343"/>
          <w:sz w:val="24"/>
          <w:szCs w:val="24"/>
          <w:highlight w:val="white"/>
          <w:rtl w:val="0"/>
        </w:rPr>
        <w:t xml:space="preserve">The visual below compares traditional grading with standards-based grading practices.</w:t>
      </w:r>
    </w:p>
    <w:tbl>
      <w:tblPr>
        <w:tblStyle w:val="Table3"/>
        <w:tblW w:w="10110.0" w:type="dxa"/>
        <w:jc w:val="left"/>
        <w:tblInd w:w="-385.0" w:type="dxa"/>
        <w:tblLayout w:type="fixed"/>
        <w:tblLook w:val="0600"/>
      </w:tblPr>
      <w:tblGrid>
        <w:gridCol w:w="5055"/>
        <w:gridCol w:w="5055"/>
        <w:tblGridChange w:id="0">
          <w:tblGrid>
            <w:gridCol w:w="5055"/>
            <w:gridCol w:w="5055"/>
          </w:tblGrid>
        </w:tblGridChange>
      </w:tblGrid>
      <w:tr>
        <w:tc>
          <w:tcPr>
            <w:tcBorders>
              <w:top w:color="000000" w:space="0" w:sz="6" w:val="single"/>
              <w:left w:color="000000" w:space="0" w:sz="6" w:val="single"/>
              <w:bottom w:color="000000" w:space="0" w:sz="6" w:val="single"/>
              <w:right w:color="000000" w:space="0" w:sz="6" w:val="single"/>
            </w:tcBorders>
            <w:shd w:fill="auto" w:val="clear"/>
            <w:tcMar>
              <w:top w:w="160.0" w:type="dxa"/>
              <w:left w:w="80.0" w:type="dxa"/>
              <w:bottom w:w="160.0" w:type="dxa"/>
              <w:right w:w="80.0" w:type="dxa"/>
            </w:tcMar>
            <w:vAlign w:val="top"/>
          </w:tcPr>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color w:val="231f20"/>
                <w:highlight w:val="white"/>
              </w:rPr>
            </w:pPr>
            <w:r w:rsidDel="00000000" w:rsidR="00000000" w:rsidRPr="00000000">
              <w:rPr>
                <w:rFonts w:ascii="Calibri" w:cs="Calibri" w:eastAsia="Calibri" w:hAnsi="Calibri"/>
                <w:b w:val="1"/>
                <w:color w:val="231f20"/>
                <w:highlight w:val="white"/>
                <w:rtl w:val="0"/>
              </w:rPr>
              <w:t xml:space="preserve">Traditional Grading System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60.0" w:type="dxa"/>
              <w:left w:w="80.0" w:type="dxa"/>
              <w:bottom w:w="160.0" w:type="dxa"/>
              <w:right w:w="80.0" w:type="dxa"/>
            </w:tcMar>
            <w:vAlign w:val="top"/>
          </w:tcPr>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color w:val="231f20"/>
                <w:highlight w:val="white"/>
              </w:rPr>
            </w:pPr>
            <w:r w:rsidDel="00000000" w:rsidR="00000000" w:rsidRPr="00000000">
              <w:rPr>
                <w:rFonts w:ascii="Calibri" w:cs="Calibri" w:eastAsia="Calibri" w:hAnsi="Calibri"/>
                <w:b w:val="1"/>
                <w:color w:val="231f20"/>
                <w:highlight w:val="white"/>
                <w:rtl w:val="0"/>
              </w:rPr>
              <w:t xml:space="preserve">Standards-Based Grading System</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auto" w:val="clear"/>
            <w:tcMar>
              <w:top w:w="160.0" w:type="dxa"/>
              <w:left w:w="80.0" w:type="dxa"/>
              <w:bottom w:w="160.0" w:type="dxa"/>
              <w:right w:w="80.0" w:type="dxa"/>
            </w:tcMar>
            <w:vAlign w:val="top"/>
          </w:tcPr>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color w:val="231f20"/>
                <w:highlight w:val="white"/>
              </w:rPr>
            </w:pPr>
            <w:r w:rsidDel="00000000" w:rsidR="00000000" w:rsidRPr="00000000">
              <w:rPr>
                <w:rFonts w:ascii="Calibri" w:cs="Calibri" w:eastAsia="Calibri" w:hAnsi="Calibri"/>
                <w:color w:val="231f20"/>
                <w:highlight w:val="white"/>
                <w:rtl w:val="0"/>
              </w:rPr>
              <w:t xml:space="preserve">Based on assessment methods (quizzes, tests, homework, projects, etc.). One grade/entry is given per assessment.</w:t>
            </w:r>
          </w:p>
        </w:tc>
        <w:tc>
          <w:tcPr>
            <w:tcBorders>
              <w:top w:color="000000" w:space="0" w:sz="6" w:val="single"/>
              <w:left w:color="000000" w:space="0" w:sz="6" w:val="single"/>
              <w:bottom w:color="000000" w:space="0" w:sz="6" w:val="single"/>
              <w:right w:color="000000" w:space="0" w:sz="6" w:val="single"/>
            </w:tcBorders>
            <w:shd w:fill="auto" w:val="clear"/>
            <w:tcMar>
              <w:top w:w="160.0" w:type="dxa"/>
              <w:left w:w="80.0" w:type="dxa"/>
              <w:bottom w:w="160.0" w:type="dxa"/>
              <w:right w:w="80.0" w:type="dxa"/>
            </w:tcMar>
            <w:vAlign w:val="top"/>
          </w:tcPr>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color w:val="231f20"/>
                <w:highlight w:val="white"/>
              </w:rPr>
            </w:pPr>
            <w:r w:rsidDel="00000000" w:rsidR="00000000" w:rsidRPr="00000000">
              <w:rPr>
                <w:rFonts w:ascii="Calibri" w:cs="Calibri" w:eastAsia="Calibri" w:hAnsi="Calibri"/>
                <w:color w:val="231f20"/>
                <w:highlight w:val="white"/>
                <w:rtl w:val="0"/>
              </w:rPr>
              <w:t xml:space="preserve">Based on learning goals and performance standards. One summative grade/entry is given per learning goal.</w:t>
            </w:r>
          </w:p>
        </w:tc>
      </w:tr>
      <w:tr>
        <w:tc>
          <w:tcPr>
            <w:tcBorders>
              <w:top w:color="000000" w:space="0" w:sz="6" w:val="single"/>
              <w:left w:color="000000" w:space="0" w:sz="6" w:val="single"/>
              <w:bottom w:color="000000" w:space="0" w:sz="6" w:val="single"/>
              <w:right w:color="000000" w:space="0" w:sz="6" w:val="single"/>
            </w:tcBorders>
            <w:shd w:fill="auto" w:val="clear"/>
            <w:tcMar>
              <w:top w:w="160.0" w:type="dxa"/>
              <w:left w:w="80.0" w:type="dxa"/>
              <w:bottom w:w="160.0" w:type="dxa"/>
              <w:right w:w="80.0" w:type="dxa"/>
            </w:tcMar>
            <w:vAlign w:val="top"/>
          </w:tcPr>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color w:val="231f20"/>
                <w:highlight w:val="white"/>
              </w:rPr>
            </w:pPr>
            <w:r w:rsidDel="00000000" w:rsidR="00000000" w:rsidRPr="00000000">
              <w:rPr>
                <w:rFonts w:ascii="Calibri" w:cs="Calibri" w:eastAsia="Calibri" w:hAnsi="Calibri"/>
                <w:color w:val="231f20"/>
                <w:highlight w:val="white"/>
                <w:rtl w:val="0"/>
              </w:rPr>
              <w:t xml:space="preserve">Assessments are based on a percentage system. Criteria for success may be unclear.</w:t>
            </w:r>
          </w:p>
        </w:tc>
        <w:tc>
          <w:tcPr>
            <w:tcBorders>
              <w:top w:color="000000" w:space="0" w:sz="6" w:val="single"/>
              <w:left w:color="000000" w:space="0" w:sz="6" w:val="single"/>
              <w:bottom w:color="000000" w:space="0" w:sz="6" w:val="single"/>
              <w:right w:color="000000" w:space="0" w:sz="6" w:val="single"/>
            </w:tcBorders>
            <w:shd w:fill="auto" w:val="clear"/>
            <w:tcMar>
              <w:top w:w="160.0" w:type="dxa"/>
              <w:left w:w="80.0" w:type="dxa"/>
              <w:bottom w:w="160.0" w:type="dxa"/>
              <w:right w:w="80.0" w:type="dxa"/>
            </w:tcMar>
            <w:vAlign w:val="top"/>
          </w:tcPr>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color w:val="231f20"/>
                <w:highlight w:val="white"/>
              </w:rPr>
            </w:pPr>
            <w:r w:rsidDel="00000000" w:rsidR="00000000" w:rsidRPr="00000000">
              <w:rPr>
                <w:rFonts w:ascii="Calibri" w:cs="Calibri" w:eastAsia="Calibri" w:hAnsi="Calibri"/>
                <w:color w:val="231f20"/>
                <w:highlight w:val="white"/>
                <w:rtl w:val="0"/>
              </w:rPr>
              <w:t xml:space="preserve">Standards are criterion or proficiency-based. Criteria and targets are made available to students ahead of time.</w:t>
            </w:r>
          </w:p>
        </w:tc>
      </w:tr>
      <w:tr>
        <w:tc>
          <w:tcPr>
            <w:tcBorders>
              <w:top w:color="000000" w:space="0" w:sz="6" w:val="single"/>
              <w:left w:color="000000" w:space="0" w:sz="6" w:val="single"/>
              <w:bottom w:color="000000" w:space="0" w:sz="6" w:val="single"/>
              <w:right w:color="000000" w:space="0" w:sz="6" w:val="single"/>
            </w:tcBorders>
            <w:shd w:fill="auto" w:val="clear"/>
            <w:tcMar>
              <w:top w:w="160.0" w:type="dxa"/>
              <w:left w:w="80.0" w:type="dxa"/>
              <w:bottom w:w="160.0" w:type="dxa"/>
              <w:right w:w="80.0" w:type="dxa"/>
            </w:tcMar>
            <w:vAlign w:val="top"/>
          </w:tcPr>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color w:val="231f20"/>
                <w:highlight w:val="white"/>
              </w:rPr>
            </w:pPr>
            <w:r w:rsidDel="00000000" w:rsidR="00000000" w:rsidRPr="00000000">
              <w:rPr>
                <w:rFonts w:ascii="Calibri" w:cs="Calibri" w:eastAsia="Calibri" w:hAnsi="Calibri"/>
                <w:color w:val="231f20"/>
                <w:highlight w:val="white"/>
                <w:rtl w:val="0"/>
              </w:rPr>
              <w:t xml:space="preserve">Use an uncertain mix of assessment, achievement, effort, and behavior to determine the final grade. May use late penalties and extra credit.</w:t>
            </w:r>
          </w:p>
        </w:tc>
        <w:tc>
          <w:tcPr>
            <w:tcBorders>
              <w:top w:color="000000" w:space="0" w:sz="6" w:val="single"/>
              <w:left w:color="000000" w:space="0" w:sz="6" w:val="single"/>
              <w:bottom w:color="000000" w:space="0" w:sz="6" w:val="single"/>
              <w:right w:color="000000" w:space="0" w:sz="6" w:val="single"/>
            </w:tcBorders>
            <w:shd w:fill="auto" w:val="clear"/>
            <w:tcMar>
              <w:top w:w="160.0" w:type="dxa"/>
              <w:left w:w="80.0" w:type="dxa"/>
              <w:bottom w:w="160.0" w:type="dxa"/>
              <w:right w:w="80.0" w:type="dxa"/>
            </w:tcMar>
            <w:vAlign w:val="top"/>
          </w:tcPr>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color w:val="231f20"/>
                <w:highlight w:val="white"/>
              </w:rPr>
            </w:pPr>
            <w:r w:rsidDel="00000000" w:rsidR="00000000" w:rsidRPr="00000000">
              <w:rPr>
                <w:rFonts w:ascii="Calibri" w:cs="Calibri" w:eastAsia="Calibri" w:hAnsi="Calibri"/>
                <w:color w:val="231f20"/>
                <w:highlight w:val="white"/>
                <w:rtl w:val="0"/>
              </w:rPr>
              <w:t xml:space="preserve">Measures achievement only OR separates achievement from effort/behavior. No penalties or extra credit given.</w:t>
            </w:r>
          </w:p>
        </w:tc>
      </w:tr>
      <w:tr>
        <w:tc>
          <w:tcPr>
            <w:tcBorders>
              <w:top w:color="000000" w:space="0" w:sz="6" w:val="single"/>
              <w:left w:color="000000" w:space="0" w:sz="6" w:val="single"/>
              <w:bottom w:color="000000" w:space="0" w:sz="6" w:val="single"/>
              <w:right w:color="000000" w:space="0" w:sz="6" w:val="single"/>
            </w:tcBorders>
            <w:shd w:fill="auto" w:val="clear"/>
            <w:tcMar>
              <w:top w:w="160.0" w:type="dxa"/>
              <w:left w:w="80.0" w:type="dxa"/>
              <w:bottom w:w="160.0" w:type="dxa"/>
              <w:right w:w="80.0" w:type="dxa"/>
            </w:tcMar>
            <w:vAlign w:val="top"/>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color w:val="231f20"/>
                <w:highlight w:val="white"/>
              </w:rPr>
            </w:pPr>
            <w:r w:rsidDel="00000000" w:rsidR="00000000" w:rsidRPr="00000000">
              <w:rPr>
                <w:rFonts w:ascii="Calibri" w:cs="Calibri" w:eastAsia="Calibri" w:hAnsi="Calibri"/>
                <w:color w:val="231f20"/>
                <w:highlight w:val="white"/>
                <w:rtl w:val="0"/>
              </w:rPr>
              <w:t xml:space="preserve"> Everything goes in the grade book – regardless of purpose.</w:t>
            </w:r>
          </w:p>
        </w:tc>
        <w:tc>
          <w:tcPr>
            <w:tcBorders>
              <w:top w:color="000000" w:space="0" w:sz="6" w:val="single"/>
              <w:left w:color="000000" w:space="0" w:sz="6" w:val="single"/>
              <w:bottom w:color="000000" w:space="0" w:sz="6" w:val="single"/>
              <w:right w:color="000000" w:space="0" w:sz="6" w:val="single"/>
            </w:tcBorders>
            <w:shd w:fill="auto" w:val="clear"/>
            <w:tcMar>
              <w:top w:w="160.0" w:type="dxa"/>
              <w:left w:w="80.0" w:type="dxa"/>
              <w:bottom w:w="160.0" w:type="dxa"/>
              <w:right w:w="80.0" w:type="dxa"/>
            </w:tcMar>
            <w:vAlign w:val="top"/>
          </w:tcPr>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color w:val="231f20"/>
                <w:highlight w:val="white"/>
              </w:rPr>
            </w:pPr>
            <w:r w:rsidDel="00000000" w:rsidR="00000000" w:rsidRPr="00000000">
              <w:rPr>
                <w:rFonts w:ascii="Calibri" w:cs="Calibri" w:eastAsia="Calibri" w:hAnsi="Calibri"/>
                <w:color w:val="231f20"/>
                <w:highlight w:val="white"/>
                <w:rtl w:val="0"/>
              </w:rPr>
              <w:t xml:space="preserve">Selected assessments (tests, quizzes, projects, etc.) are used for grading purposes. Practice is reported but not counted in final grade. </w:t>
            </w:r>
          </w:p>
        </w:tc>
      </w:tr>
      <w:tr>
        <w:tc>
          <w:tcPr>
            <w:tcBorders>
              <w:top w:color="000000" w:space="0" w:sz="6" w:val="single"/>
              <w:left w:color="000000" w:space="0" w:sz="6" w:val="single"/>
              <w:bottom w:color="000000" w:space="0" w:sz="6" w:val="single"/>
              <w:right w:color="000000" w:space="0" w:sz="6" w:val="single"/>
            </w:tcBorders>
            <w:shd w:fill="auto" w:val="clear"/>
            <w:tcMar>
              <w:top w:w="160.0" w:type="dxa"/>
              <w:left w:w="80.0" w:type="dxa"/>
              <w:bottom w:w="160.0" w:type="dxa"/>
              <w:right w:w="80.0" w:type="dxa"/>
            </w:tcMar>
            <w:vAlign w:val="top"/>
          </w:tcPr>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color w:val="231f20"/>
                <w:highlight w:val="white"/>
              </w:rPr>
            </w:pPr>
            <w:r w:rsidDel="00000000" w:rsidR="00000000" w:rsidRPr="00000000">
              <w:rPr>
                <w:rFonts w:ascii="Calibri" w:cs="Calibri" w:eastAsia="Calibri" w:hAnsi="Calibri"/>
                <w:color w:val="231f20"/>
                <w:highlight w:val="white"/>
                <w:rtl w:val="0"/>
              </w:rPr>
              <w:t xml:space="preserve">Include every score, regardless of when it was collected. Assessments record the average – not the best – work.</w:t>
            </w:r>
          </w:p>
        </w:tc>
        <w:tc>
          <w:tcPr>
            <w:tcBorders>
              <w:top w:color="000000" w:space="0" w:sz="6" w:val="single"/>
              <w:left w:color="000000" w:space="0" w:sz="6" w:val="single"/>
              <w:bottom w:color="000000" w:space="0" w:sz="6" w:val="single"/>
              <w:right w:color="000000" w:space="0" w:sz="6" w:val="single"/>
            </w:tcBorders>
            <w:shd w:fill="auto" w:val="clear"/>
            <w:tcMar>
              <w:top w:w="160.0" w:type="dxa"/>
              <w:left w:w="80.0" w:type="dxa"/>
              <w:bottom w:w="160.0" w:type="dxa"/>
              <w:right w:w="80.0" w:type="dxa"/>
            </w:tcMar>
            <w:vAlign w:val="top"/>
          </w:tcPr>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color w:val="231f20"/>
                <w:highlight w:val="white"/>
              </w:rPr>
            </w:pPr>
            <w:r w:rsidDel="00000000" w:rsidR="00000000" w:rsidRPr="00000000">
              <w:rPr>
                <w:rFonts w:ascii="Calibri" w:cs="Calibri" w:eastAsia="Calibri" w:hAnsi="Calibri"/>
                <w:color w:val="231f20"/>
                <w:highlight w:val="white"/>
                <w:rtl w:val="0"/>
              </w:rPr>
              <w:t xml:space="preserve">Emphasize the most recent evidence of learning when grading.</w:t>
            </w:r>
          </w:p>
        </w:tc>
      </w:tr>
    </w:tbl>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after="220" w:before="0" w:line="360" w:lineRule="auto"/>
        <w:contextualSpacing w:val="0"/>
        <w:rPr>
          <w:rFonts w:ascii="Calibri" w:cs="Calibri" w:eastAsia="Calibri" w:hAnsi="Calibri"/>
          <w:color w:val="231f20"/>
          <w:sz w:val="24"/>
          <w:szCs w:val="24"/>
          <w:highlight w:val="white"/>
        </w:rPr>
      </w:pPr>
      <w:r w:rsidDel="00000000" w:rsidR="00000000" w:rsidRPr="00000000">
        <w:rPr>
          <w:rFonts w:ascii="Calibri" w:cs="Calibri" w:eastAsia="Calibri" w:hAnsi="Calibri"/>
          <w:color w:val="231f20"/>
          <w:sz w:val="24"/>
          <w:szCs w:val="24"/>
          <w:highlight w:val="white"/>
          <w:rtl w:val="0"/>
        </w:rPr>
        <w:t xml:space="preserve">Adapted from O’Connor K (2002).  </w:t>
      </w:r>
      <w:r w:rsidDel="00000000" w:rsidR="00000000" w:rsidRPr="00000000">
        <w:rPr>
          <w:rFonts w:ascii="Calibri" w:cs="Calibri" w:eastAsia="Calibri" w:hAnsi="Calibri"/>
          <w:i w:val="1"/>
          <w:color w:val="231f20"/>
          <w:sz w:val="24"/>
          <w:szCs w:val="24"/>
          <w:highlight w:val="white"/>
          <w:rtl w:val="0"/>
        </w:rPr>
        <w:t xml:space="preserve">How to Grade for Learning: Linking grades to standards (2nd ed.). Thousand Oaks, CA: Corwin Press</w:t>
      </w:r>
      <w:r w:rsidDel="00000000" w:rsidR="00000000" w:rsidRPr="00000000">
        <w:rPr>
          <w:rFonts w:ascii="Calibri" w:cs="Calibri" w:eastAsia="Calibri" w:hAnsi="Calibri"/>
          <w:color w:val="231f20"/>
          <w:sz w:val="24"/>
          <w:szCs w:val="24"/>
          <w:highlight w:val="white"/>
          <w:rtl w:val="0"/>
        </w:rPr>
        <w:t xml:space="preserve">.</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Grading and Assessment Definitions</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Assessment</w:t>
      </w:r>
      <w:r w:rsidDel="00000000" w:rsidR="00000000" w:rsidRPr="00000000">
        <w:rPr>
          <w:rFonts w:ascii="Calibri" w:cs="Calibri" w:eastAsia="Calibri" w:hAnsi="Calibri"/>
          <w:sz w:val="24"/>
          <w:szCs w:val="24"/>
          <w:rtl w:val="0"/>
        </w:rPr>
        <w:t xml:space="preserve">: Gathering and interpreting information about student achievement using a variety of tools </w:t>
        <w:tab/>
        <w:t xml:space="preserve"> </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Common Assessment</w:t>
      </w:r>
      <w:r w:rsidDel="00000000" w:rsidR="00000000" w:rsidRPr="00000000">
        <w:rPr>
          <w:rFonts w:ascii="Calibri" w:cs="Calibri" w:eastAsia="Calibri" w:hAnsi="Calibri"/>
          <w:sz w:val="24"/>
          <w:szCs w:val="24"/>
          <w:rtl w:val="0"/>
        </w:rPr>
        <w:t xml:space="preserve">: The same assessment that is given and graded by common grade level/subject classrooms at about the same time to collect data</w:t>
        <w:tab/>
        <w:t xml:space="preserve"> </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Formative Assessment</w:t>
      </w:r>
      <w:r w:rsidDel="00000000" w:rsidR="00000000" w:rsidRPr="00000000">
        <w:rPr>
          <w:rFonts w:ascii="Calibri" w:cs="Calibri" w:eastAsia="Calibri" w:hAnsi="Calibri"/>
          <w:sz w:val="24"/>
          <w:szCs w:val="24"/>
          <w:rtl w:val="0"/>
        </w:rPr>
        <w:t xml:space="preserve">: Periodic assessment tool for learning that is used to adjust instruction for individual students or a whole class</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Grade</w:t>
      </w:r>
      <w:r w:rsidDel="00000000" w:rsidR="00000000" w:rsidRPr="00000000">
        <w:rPr>
          <w:rFonts w:ascii="Calibri" w:cs="Calibri" w:eastAsia="Calibri" w:hAnsi="Calibri"/>
          <w:sz w:val="24"/>
          <w:szCs w:val="24"/>
          <w:rtl w:val="0"/>
        </w:rPr>
        <w:t xml:space="preserve">: A simple, clear, and concrete summary representation of student achievement based on what a student knows at the end of a given time period; the number (or letter) reported at the end of a period of time as a summary statement of student performance</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Learning Target: </w:t>
      </w:r>
      <w:r w:rsidDel="00000000" w:rsidR="00000000" w:rsidRPr="00000000">
        <w:rPr>
          <w:rFonts w:ascii="Calibri" w:cs="Calibri" w:eastAsia="Calibri" w:hAnsi="Calibri"/>
          <w:sz w:val="24"/>
          <w:szCs w:val="24"/>
          <w:rtl w:val="0"/>
        </w:rPr>
        <w:t xml:space="preserve">A broken down objective of what the student should learn, understand, and/or be able to do; the individual learning skills for teaching and/or testing </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Mastery</w:t>
      </w:r>
      <w:r w:rsidDel="00000000" w:rsidR="00000000" w:rsidRPr="00000000">
        <w:rPr>
          <w:rFonts w:ascii="Calibri" w:cs="Calibri" w:eastAsia="Calibri" w:hAnsi="Calibri"/>
          <w:sz w:val="24"/>
          <w:szCs w:val="24"/>
          <w:rtl w:val="0"/>
        </w:rPr>
        <w:t xml:space="preserve">: Demonstration of student performance against standard criteria at a pre-established level</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Power Standard: </w:t>
      </w:r>
      <w:r w:rsidDel="00000000" w:rsidR="00000000" w:rsidRPr="00000000">
        <w:rPr>
          <w:rFonts w:ascii="Calibri" w:cs="Calibri" w:eastAsia="Calibri" w:hAnsi="Calibri"/>
          <w:sz w:val="24"/>
          <w:szCs w:val="24"/>
          <w:rtl w:val="0"/>
        </w:rPr>
        <w:t xml:space="preserve">Statement that describes what and/or how well students are expected to understand and perform</w:t>
        <w:tab/>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Standards-based Grading</w:t>
      </w:r>
      <w:r w:rsidDel="00000000" w:rsidR="00000000" w:rsidRPr="00000000">
        <w:rPr>
          <w:rFonts w:ascii="Calibri" w:cs="Calibri" w:eastAsia="Calibri" w:hAnsi="Calibri"/>
          <w:sz w:val="24"/>
          <w:szCs w:val="24"/>
          <w:rtl w:val="0"/>
        </w:rPr>
        <w:t xml:space="preserve">: Achievement level based on mastery of essential standards—a grading system where scores denote progress toward the understanding of a specific standard </w:t>
        <w:tab/>
        <w:t xml:space="preserve"> </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Summative Assessment</w:t>
      </w:r>
      <w:r w:rsidDel="00000000" w:rsidR="00000000" w:rsidRPr="00000000">
        <w:rPr>
          <w:rFonts w:ascii="Calibri" w:cs="Calibri" w:eastAsia="Calibri" w:hAnsi="Calibri"/>
          <w:sz w:val="24"/>
          <w:szCs w:val="24"/>
          <w:rtl w:val="0"/>
        </w:rPr>
        <w:t xml:space="preserve">: An evaluation tool designed to show information about a student’s achievement at the end of a period of instruction </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4.0 Rubric:</w:t>
      </w:r>
      <w:r w:rsidDel="00000000" w:rsidR="00000000" w:rsidRPr="00000000">
        <w:rPr>
          <w:rFonts w:ascii="Calibri" w:cs="Calibri" w:eastAsia="Calibri" w:hAnsi="Calibri"/>
          <w:sz w:val="24"/>
          <w:szCs w:val="24"/>
          <w:rtl w:val="0"/>
        </w:rPr>
        <w:t xml:space="preserve"> A grading tool used to provide feedback on an identified learning goal; the score signifies the knowledge a student has towards that learning </w:t>
      </w:r>
      <w:r w:rsidDel="00000000" w:rsidR="00000000" w:rsidRPr="00000000">
        <w:rPr>
          <w:rFonts w:ascii="Calibri" w:cs="Calibri" w:eastAsia="Calibri" w:hAnsi="Calibri"/>
          <w:sz w:val="24"/>
          <w:szCs w:val="24"/>
          <w:rtl w:val="0"/>
        </w:rPr>
        <w:t xml:space="preserve">goal</w:t>
      </w: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Standards-Based Education Rubric Explanation </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contextualSpacing w:val="0"/>
        <w:rPr>
          <w:rFonts w:ascii="Calibri" w:cs="Calibri" w:eastAsia="Calibri" w:hAnsi="Calibri"/>
          <w:color w:val="cccccc"/>
          <w:sz w:val="24"/>
          <w:szCs w:val="24"/>
        </w:rPr>
      </w:pPr>
      <w:r w:rsidDel="00000000" w:rsidR="00000000" w:rsidRPr="00000000">
        <w:rPr>
          <w:rFonts w:ascii="Calibri" w:cs="Calibri" w:eastAsia="Calibri" w:hAnsi="Calibri"/>
          <w:sz w:val="24"/>
          <w:szCs w:val="24"/>
          <w:rtl w:val="0"/>
        </w:rPr>
        <w:t xml:space="preserve">A rubric is given to the students for each essential outcome covered in each class. Each of the levels builds on the others and explains what learning the students have to demonstrate in order to earn that score. The students must master each level as they move up the rubric. </w:t>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contextualSpacing w:val="0"/>
        <w:rPr>
          <w:rFonts w:ascii="Calibri" w:cs="Calibri" w:eastAsia="Calibri" w:hAnsi="Calibri"/>
          <w:color w:val="cccccc"/>
          <w:sz w:val="24"/>
          <w:szCs w:val="24"/>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contextualSpacing w:val="0"/>
        <w:rPr>
          <w:rFonts w:ascii="Calibri" w:cs="Calibri" w:eastAsia="Calibri" w:hAnsi="Calibri"/>
          <w:color w:val="cccccc"/>
          <w:sz w:val="24"/>
          <w:szCs w:val="24"/>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contextualSpacing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Questions and Answers</w:t>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Everyone knows what an A-B-C-D-F and 100 point scale stands for. Why change? </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Traditional grading often measures many different factors and compares how well students do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compared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their classmates. Standards-based grading measures how well an individual student is doing in relation to the grade level standard/ skill, not the work of other students. In the 100 point system, the question becomes “100 percent of what?” We need criteria to have more consistency and accuracy about what students know and are able to do. When a percentage system is applied, it can be misleading. 100 percent correctness on a set of very easy questions is very different than a slightly lower percentage on a set of difficult items. A 100 point scale does not consider difficulty of work and leads to an inaccurate measure of student learning relative to a specific learning goals. Grades must be accurate and consistent to be useful. The use of a grading scale that is unequal, such as the 100 point scale, distorts the final grade as a true indicator of mastery. The smaller equal interval scale will cause grading practices to be more accurate and consistent. </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is the effect on the GPA?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Standards-based grading will have no effect on GPA. At the high school level, the 4.0 scale will be converted to a letter grade which is used to determine GPA. Teachers carefully consider the following in determining progress: independent daily written or oral tasks, application of skills, periodic assessments (quizzes, tests), performance tasks, and teacher-student questioning. Several different types of assessments will be available. Students can retest as many times as they need to, to show they know the concept or skill. Consistent descriptive feedback will be given to let students know what improvements are needed and what they are doing right. The information that provides the most accurate depiction of students’ learning is the most current information. If students demonstrate that past assessment information no longer accurately reflects their learning, that information must be dropped and replaced by the new information. </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Why is averaging scores to determine a grade not the best method?</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Averaging does not always provide an accurate description of what students have learned. Teachers must consider other central tendencies such as median, mode, or new learning replacing old.  </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about extra credit? </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Extra credit does not measure learning. In a standards-based system, students are actually able to demonstrate their learning in many different ways and timeframes. In a traditional system in which points determine everything, extra credit and extra points will influence a grade and not reflect any additional learning. For instance, a student that has a 2.0 on a specific learning goal may have multiple opportunities to demonstrate their learning at the 3.0 level. However, in a traditional system in which extra points are simply added into the overall grade, extra points can be earned regardless of whether or not learning may have occurred. </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How can students improve their grades?</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goal in a standards-based class is to ensure that students master the essential outcomes for the class, so any efforts to raise a student’s grade will have the same goal. The student should meet with the teacher to determine which outcomes need improvement and create a plan on how to relearn the material and when to be reassessed. If the student demonstrates a higher level of mastery on the outcome assessment, then the newer score will replace the older score. Again, the focus is to improve the student’s mastery of the material, so extra credit points are not used in standards-based classes. Teachers have a </w:t>
      </w:r>
      <w:hyperlink r:id="rId8">
        <w:r w:rsidDel="00000000" w:rsidR="00000000" w:rsidRPr="00000000">
          <w:rPr>
            <w:rFonts w:ascii="Calibri" w:cs="Calibri" w:eastAsia="Calibri" w:hAnsi="Calibri"/>
            <w:color w:val="1155cc"/>
            <w:sz w:val="24"/>
            <w:szCs w:val="24"/>
            <w:u w:val="single"/>
            <w:rtl w:val="0"/>
          </w:rPr>
          <w:t xml:space="preserve">reassessment form</w:t>
        </w:r>
      </w:hyperlink>
      <w:r w:rsidDel="00000000" w:rsidR="00000000" w:rsidRPr="00000000">
        <w:rPr>
          <w:rFonts w:ascii="Calibri" w:cs="Calibri" w:eastAsia="Calibri" w:hAnsi="Calibri"/>
          <w:sz w:val="24"/>
          <w:szCs w:val="24"/>
          <w:rtl w:val="0"/>
        </w:rPr>
        <w:t xml:space="preserve"> that must be completed to reassess on a standard. </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How are students held accountable for their effort and conduct?</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factors have always been and will continue to be an important part of every student’s success. However, in standards-based education, these factors will be communicated separately from the student’s academic grade. </w:t>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Milan Middle School is a PBIS school, and we work to teach students to be respectful, responsible, and safe. We also use a reflection center that serves as a reset for students. Teachers will notify parents when the reflection center needs to be used by students. </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How are students held accountable for homework or classwork when it’s only counted as practice?</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Many students feel that in a standards-based class they don’t have to worry about anything except their final chapter or unit test. This is incorrect. It is important for students to understand that their teacher is evaluating their performance on learning tasks, or homework, each day. Teachers analyze student work to determine growth and improvement towards mastery of a specific skill or content. When assigning a final score, every teacher has the responsibility of taking into account all the work a student does during a semester. So, if a student chooses not to do an assignment, not only is he/she missing an opportunity to practice a skill, he/she also misses an opportunity to display mastery of an outcome to his/her teacher.</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research has the district used in developing standards-based assessment and grading ? </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district has utilized research from the following experts in the field: Dr. Robert Marzano, Ken O’Connor, Jay McTighe, Rick Wormeli, Thomas Guskey, Douglas Reeves, and Rick Stiggins. </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does the number scale on the</w:t>
      </w:r>
      <w:r w:rsidDel="00000000" w:rsidR="00000000" w:rsidRPr="00000000">
        <w:rPr>
          <w:rFonts w:ascii="Calibri" w:cs="Calibri" w:eastAsia="Calibri" w:hAnsi="Calibri"/>
          <w:b w:val="1"/>
          <w:sz w:val="24"/>
          <w:szCs w:val="24"/>
          <w:rtl w:val="0"/>
        </w:rPr>
        <w:t xml:space="preserve"> rubric mean?</w:t>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Once</w:t>
      </w:r>
      <w:r w:rsidDel="00000000" w:rsidR="00000000" w:rsidRPr="00000000">
        <w:rPr>
          <w:rFonts w:ascii="Calibri" w:cs="Calibri" w:eastAsia="Calibri" w:hAnsi="Calibri"/>
          <w:sz w:val="24"/>
          <w:szCs w:val="24"/>
          <w:rtl w:val="0"/>
        </w:rPr>
        <w:t xml:space="preserve"> the teacher has determined what constitutes proficiency for the items on the rubric, the structure of the rubric determines how a score is assigned. Each level on the rubric has a specific meaning as follows:</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4 (Advanced)– The student demonstrates an in-depth understanding of the material by completing advanced applications of the material.  </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(Proficient) – The student demonstrates proficiency on the complex, targeted knowledge and skills for the class.  </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2 (Partially Proficient)– The student understands the foundational material, but is still working to master application of the concepts and skills  </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(Not Proficient)– The student is able to demonstrate an understanding of all of the foundational material with support  </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 (No Evidence)– Even with assistance from the teacher, the student shows no understanding of the material. </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 a parent, what can I do to support my student and help with his or her grade(s)?</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teachers at MMS have several extra supports in place accessible for parents. If you cannot access this information online, please contact the teacher or office. </w:t>
      </w:r>
    </w:p>
    <w:p w:rsidR="00000000" w:rsidDel="00000000" w:rsidP="00000000" w:rsidRDefault="00000000" w:rsidRPr="00000000" w14:paraId="000000DB">
      <w:pPr>
        <w:numPr>
          <w:ilvl w:val="0"/>
          <w:numId w:val="8"/>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Always reach out to the teacher if you have a concern.</w:t>
      </w:r>
    </w:p>
    <w:p w:rsidR="00000000" w:rsidDel="00000000" w:rsidP="00000000" w:rsidRDefault="00000000" w:rsidRPr="00000000" w14:paraId="000000DC">
      <w:pPr>
        <w:numPr>
          <w:ilvl w:val="0"/>
          <w:numId w:val="8"/>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the online weekly planner to know what assignments are due.</w:t>
      </w:r>
    </w:p>
    <w:p w:rsidR="00000000" w:rsidDel="00000000" w:rsidP="00000000" w:rsidRDefault="00000000" w:rsidRPr="00000000" w14:paraId="000000DD">
      <w:pPr>
        <w:numPr>
          <w:ilvl w:val="0"/>
          <w:numId w:val="8"/>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PowerSchool access will give you your child’s most recent status.</w:t>
      </w:r>
    </w:p>
    <w:p w:rsidR="00000000" w:rsidDel="00000000" w:rsidP="00000000" w:rsidRDefault="00000000" w:rsidRPr="00000000" w14:paraId="000000DE">
      <w:pPr>
        <w:numPr>
          <w:ilvl w:val="0"/>
          <w:numId w:val="8"/>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Read the newsletters for updates and rubrics.</w:t>
      </w:r>
    </w:p>
    <w:p w:rsidR="00000000" w:rsidDel="00000000" w:rsidP="00000000" w:rsidRDefault="00000000" w:rsidRPr="00000000" w14:paraId="000000DF">
      <w:pPr>
        <w:numPr>
          <w:ilvl w:val="0"/>
          <w:numId w:val="8"/>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Make sure you are signed up to receive School Messenger. </w:t>
      </w:r>
    </w:p>
    <w:p w:rsidR="00000000" w:rsidDel="00000000" w:rsidP="00000000" w:rsidRDefault="00000000" w:rsidRPr="00000000" w14:paraId="000000E0">
      <w:pPr>
        <w:numPr>
          <w:ilvl w:val="0"/>
          <w:numId w:val="8"/>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Encourage your child to do the reassessment tickets to be reevaluated on the material. </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Resources: </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Heflebower, T., Hoegh, J.K., and Warrick, P. (2014). </w:t>
      </w:r>
      <w:r w:rsidDel="00000000" w:rsidR="00000000" w:rsidRPr="00000000">
        <w:rPr>
          <w:rFonts w:ascii="Calibri" w:cs="Calibri" w:eastAsia="Calibri" w:hAnsi="Calibri"/>
          <w:i w:val="1"/>
          <w:sz w:val="24"/>
          <w:szCs w:val="24"/>
          <w:rtl w:val="0"/>
        </w:rPr>
        <w:t xml:space="preserve">A School Leader’s Guide to Standards-Based Grading</w:t>
      </w:r>
      <w:r w:rsidDel="00000000" w:rsidR="00000000" w:rsidRPr="00000000">
        <w:rPr>
          <w:rFonts w:ascii="Calibri" w:cs="Calibri" w:eastAsia="Calibri" w:hAnsi="Calibri"/>
          <w:sz w:val="24"/>
          <w:szCs w:val="24"/>
          <w:rtl w:val="0"/>
        </w:rPr>
        <w:t xml:space="preserve">: Bloomington, IN: Marzano Research Laboratory. </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Marzano, R. J. (2010). </w:t>
      </w:r>
      <w:r w:rsidDel="00000000" w:rsidR="00000000" w:rsidRPr="00000000">
        <w:rPr>
          <w:rFonts w:ascii="Calibri" w:cs="Calibri" w:eastAsia="Calibri" w:hAnsi="Calibri"/>
          <w:i w:val="1"/>
          <w:sz w:val="24"/>
          <w:szCs w:val="24"/>
          <w:rtl w:val="0"/>
        </w:rPr>
        <w:t xml:space="preserve">Formative assessment &amp; standards-based grading: Classroom strategies that work</w:t>
      </w:r>
      <w:r w:rsidDel="00000000" w:rsidR="00000000" w:rsidRPr="00000000">
        <w:rPr>
          <w:rFonts w:ascii="Calibri" w:cs="Calibri" w:eastAsia="Calibri" w:hAnsi="Calibri"/>
          <w:sz w:val="24"/>
          <w:szCs w:val="24"/>
          <w:rtl w:val="0"/>
        </w:rPr>
        <w:t xml:space="preserve">. Bloomington, IN: Marzano Research Laboratory. </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Marzano, R. J. (2000). “Transforming classroom grading.” Alexandria, VA: Association for Supervision and Curriculum Development.</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Wormeli, R. (2018). </w:t>
      </w:r>
      <w:r w:rsidDel="00000000" w:rsidR="00000000" w:rsidRPr="00000000">
        <w:rPr>
          <w:rFonts w:ascii="Calibri" w:cs="Calibri" w:eastAsia="Calibri" w:hAnsi="Calibri"/>
          <w:i w:val="1"/>
          <w:sz w:val="24"/>
          <w:szCs w:val="24"/>
          <w:rtl w:val="0"/>
        </w:rPr>
        <w:t xml:space="preserve">Fair Isn’t Always Equal. </w:t>
      </w:r>
      <w:r w:rsidDel="00000000" w:rsidR="00000000" w:rsidRPr="00000000">
        <w:rPr>
          <w:rFonts w:ascii="Calibri" w:cs="Calibri" w:eastAsia="Calibri" w:hAnsi="Calibri"/>
          <w:sz w:val="24"/>
          <w:szCs w:val="24"/>
          <w:rtl w:val="0"/>
        </w:rPr>
        <w:t xml:space="preserve">Stenhouse. </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Wormeli,  R. (2013). NASSP Presentation: </w:t>
      </w:r>
      <w:hyperlink r:id="rId9">
        <w:r w:rsidDel="00000000" w:rsidR="00000000" w:rsidRPr="00000000">
          <w:rPr>
            <w:rFonts w:ascii="Calibri" w:cs="Calibri" w:eastAsia="Calibri" w:hAnsi="Calibri"/>
            <w:color w:val="1155cc"/>
            <w:sz w:val="24"/>
            <w:szCs w:val="24"/>
            <w:u w:val="single"/>
            <w:rtl w:val="0"/>
          </w:rPr>
          <w:t xml:space="preserve">http://swcontent.spokaneschools.org/cms/lib/WA01000970/Centricity/Domain/1752/Wormeli_slides_BW.pdf</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4"/>
          <w:szCs w:val="24"/>
        </w:rPr>
      </w:pPr>
      <w:r w:rsidDel="00000000" w:rsidR="00000000" w:rsidRPr="00000000">
        <w:rPr>
          <w:rtl w:val="0"/>
        </w:rPr>
      </w:r>
    </w:p>
    <w:sectPr>
      <w:headerReference r:id="rId10" w:type="default"/>
      <w:headerReference r:id="rId11" w:type="first"/>
      <w:footerReference r:id="rId12" w:type="first"/>
      <w:footerReference r:id="rId13" w:type="default"/>
      <w:pgSz w:h="15840" w:w="12240"/>
      <w:pgMar w:bottom="1008" w:top="1008"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Calibri"/>
  <w:font w:name="Arial"/>
  <w:font w:name="Yanone Kaffeesatz">
    <w:embedRegular w:fontKey="{00000000-0000-0000-0000-000000000000}" r:id="rId1" w:subsetted="0"/>
    <w:embedBold w:fontKey="{00000000-0000-0000-0000-000000000000}" r:id="rId2" w:subsetted="0"/>
  </w:font>
  <w:font w:name="Source Sans Pr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line="240" w:lineRule="auto"/>
      <w:ind w:left="-1440" w:right="-1005" w:firstLine="0"/>
      <w:contextualSpacing w:val="0"/>
      <w:rPr>
        <w:sz w:val="14"/>
        <w:szCs w:val="14"/>
      </w:rPr>
    </w:pPr>
    <w:r w:rsidDel="00000000" w:rsidR="00000000" w:rsidRPr="00000000">
      <w:rPr>
        <w:rtl w:val="0"/>
      </w:rPr>
    </w:r>
  </w:p>
  <w:tbl>
    <w:tblPr>
      <w:tblStyle w:val="Table4"/>
      <w:tblW w:w="12225.0" w:type="dxa"/>
      <w:jc w:val="left"/>
      <w:tblInd w:w="-1340.0" w:type="dxa"/>
      <w:tblBorders>
        <w:top w:color="ff0000" w:space="0" w:sz="8" w:val="single"/>
        <w:left w:color="ff0000" w:space="0" w:sz="8" w:val="single"/>
        <w:bottom w:color="ff0000" w:space="0" w:sz="8" w:val="single"/>
        <w:right w:color="ff0000" w:space="0" w:sz="8" w:val="single"/>
        <w:insideH w:color="ff0000" w:space="0" w:sz="8" w:val="single"/>
        <w:insideV w:color="ff0000" w:space="0" w:sz="8" w:val="single"/>
      </w:tblBorders>
      <w:tblLayout w:type="fixed"/>
      <w:tblLook w:val="0600"/>
    </w:tblPr>
    <w:tblGrid>
      <w:gridCol w:w="12225"/>
      <w:tblGridChange w:id="0">
        <w:tblGrid>
          <w:gridCol w:w="12225"/>
        </w:tblGrid>
      </w:tblGridChange>
    </w:tblGrid>
    <w:tr>
      <w:trPr>
        <w:trHeight w:val="660" w:hRule="atLeast"/>
      </w:trPr>
      <w:tc>
        <w:tcPr>
          <w:shd w:fill="ff0000" w:val="clear"/>
          <w:tcMar>
            <w:top w:w="100.0" w:type="dxa"/>
            <w:left w:w="100.0" w:type="dxa"/>
            <w:bottom w:w="100.0" w:type="dxa"/>
            <w:right w:w="100.0" w:type="dxa"/>
          </w:tcMar>
          <w:vAlign w:val="center"/>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5" w:right="0" w:firstLine="0"/>
            <w:contextualSpacing w:val="0"/>
            <w:jc w:val="center"/>
            <w:rPr>
              <w:color w:val="ffffff"/>
              <w:sz w:val="28"/>
              <w:szCs w:val="28"/>
            </w:rPr>
          </w:pPr>
          <w:r w:rsidDel="00000000" w:rsidR="00000000" w:rsidRPr="00000000">
            <w:rPr>
              <w:color w:val="ffffff"/>
              <w:sz w:val="28"/>
              <w:szCs w:val="28"/>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EA">
    <w:pPr>
      <w:contextualSpacing w:val="0"/>
      <w:jc w:val="center"/>
      <w:rPr>
        <w:rFonts w:ascii="Calibri" w:cs="Calibri" w:eastAsia="Calibri" w:hAnsi="Calibri"/>
        <w:b w:val="1"/>
        <w:color w:val="434343"/>
        <w:sz w:val="24"/>
        <w:szCs w:val="24"/>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spacing w:line="240" w:lineRule="auto"/>
      <w:ind w:left="-1440" w:right="-1005" w:firstLine="0"/>
      <w:contextualSpacing w:val="0"/>
      <w:rPr>
        <w:rFonts w:ascii="Calibri" w:cs="Calibri" w:eastAsia="Calibri" w:hAnsi="Calibri"/>
        <w:b w:val="1"/>
        <w:color w:val="434343"/>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spacing w:before="0" w:line="240" w:lineRule="auto"/>
      <w:ind w:left="-1440" w:right="-1005" w:firstLine="0"/>
      <w:contextualSpacing w:val="0"/>
      <w:rPr>
        <w:sz w:val="12"/>
        <w:szCs w:val="12"/>
      </w:rPr>
    </w:pPr>
    <w:r w:rsidDel="00000000" w:rsidR="00000000" w:rsidRPr="00000000">
      <w:rPr>
        <w:rtl w:val="0"/>
      </w:rPr>
    </w:r>
  </w:p>
  <w:tbl>
    <w:tblPr>
      <w:tblStyle w:val="Table5"/>
      <w:tblW w:w="12225.0" w:type="dxa"/>
      <w:jc w:val="left"/>
      <w:tblInd w:w="-1340.0" w:type="dxa"/>
      <w:tblBorders>
        <w:top w:color="ff0000" w:space="0" w:sz="8" w:val="single"/>
        <w:left w:color="ff0000" w:space="0" w:sz="8" w:val="single"/>
        <w:bottom w:color="ff0000" w:space="0" w:sz="8" w:val="single"/>
        <w:right w:color="ff0000" w:space="0" w:sz="8" w:val="single"/>
        <w:insideH w:color="ff0000" w:space="0" w:sz="8" w:val="single"/>
        <w:insideV w:color="ff0000" w:space="0" w:sz="8" w:val="single"/>
      </w:tblBorders>
      <w:tblLayout w:type="fixed"/>
      <w:tblLook w:val="0600"/>
    </w:tblPr>
    <w:tblGrid>
      <w:gridCol w:w="12225"/>
      <w:tblGridChange w:id="0">
        <w:tblGrid>
          <w:gridCol w:w="12225"/>
        </w:tblGrid>
      </w:tblGridChange>
    </w:tblGrid>
    <w:tr>
      <w:trPr>
        <w:trHeight w:val="660" w:hRule="atLeast"/>
      </w:trPr>
      <w:tc>
        <w:tcPr>
          <w:shd w:fill="ff0000" w:val="clear"/>
          <w:tcMar>
            <w:top w:w="100.0" w:type="dxa"/>
            <w:left w:w="100.0" w:type="dxa"/>
            <w:bottom w:w="100.0" w:type="dxa"/>
            <w:right w:w="100.0" w:type="dxa"/>
          </w:tcMar>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spacing w:before="0" w:lineRule="auto"/>
            <w:ind w:left="75" w:firstLine="0"/>
            <w:contextualSpacing w:val="0"/>
            <w:jc w:val="center"/>
            <w:rPr>
              <w:color w:val="ffffff"/>
            </w:rPr>
          </w:pPr>
          <w:r w:rsidDel="00000000" w:rsidR="00000000" w:rsidRPr="00000000">
            <w:rPr>
              <w:color w:val="ffffff"/>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spacing w:before="0" w:line="240" w:lineRule="auto"/>
      <w:ind w:left="-1440" w:right="-1005" w:firstLine="0"/>
      <w:contextualSpacing w:val="0"/>
      <w:rPr>
        <w:sz w:val="12"/>
        <w:szCs w:val="1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contextualSpacing w:val="0"/>
      <w:rPr/>
    </w:pPr>
    <w:r w:rsidDel="00000000" w:rsidR="00000000" w:rsidRPr="00000000">
      <w:rPr/>
      <w:drawing>
        <wp:inline distB="114300" distT="114300" distL="114300" distR="114300">
          <wp:extent cx="5943600" cy="508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37500" l="0" r="0" t="37500"/>
                  <a:stretch>
                    <a:fillRect/>
                  </a:stretch>
                </pic:blipFill>
                <pic:spPr>
                  <a:xfrm>
                    <a:off x="0" y="0"/>
                    <a:ext cx="5943600" cy="508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Sans Pro" w:cs="Source Sans Pro" w:eastAsia="Source Sans Pro" w:hAnsi="Source Sans Pro"/>
        <w:color w:val="666666"/>
        <w:sz w:val="22"/>
        <w:szCs w:val="22"/>
        <w:lang w:val="en"/>
      </w:rPr>
    </w:rPrDefault>
    <w:pPrDefault>
      <w:pPr>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20" w:line="240" w:lineRule="auto"/>
      <w:ind w:left="-15" w:right="-15" w:firstLine="0"/>
    </w:pPr>
    <w:rPr>
      <w:rFonts w:ascii="Yanone Kaffeesatz" w:cs="Yanone Kaffeesatz" w:eastAsia="Yanone Kaffeesatz" w:hAnsi="Yanone Kaffeesatz"/>
      <w:color w:val="434343"/>
      <w:sz w:val="84"/>
      <w:szCs w:val="84"/>
    </w:rPr>
  </w:style>
  <w:style w:type="paragraph" w:styleId="Heading2">
    <w:name w:val="heading 2"/>
    <w:basedOn w:val="Normal"/>
    <w:next w:val="Normal"/>
    <w:pPr>
      <w:spacing w:before="480" w:lineRule="auto"/>
    </w:pPr>
    <w:rPr>
      <w:b w:val="1"/>
      <w:color w:val="434343"/>
      <w:sz w:val="32"/>
      <w:szCs w:val="32"/>
    </w:rPr>
  </w:style>
  <w:style w:type="paragraph" w:styleId="Heading3">
    <w:name w:val="heading 3"/>
    <w:basedOn w:val="Normal"/>
    <w:next w:val="Normal"/>
    <w:pPr>
      <w:widowControl w:val="0"/>
      <w:spacing w:line="240" w:lineRule="auto"/>
      <w:contextualSpacing w:val="1"/>
    </w:pPr>
    <w:rPr>
      <w:rFonts w:ascii="Source Sans Pro" w:cs="Source Sans Pro" w:eastAsia="Source Sans Pro" w:hAnsi="Source Sans Pro"/>
      <w:color w:val="b7b7b7"/>
      <w:sz w:val="20"/>
      <w:szCs w:val="20"/>
    </w:rPr>
  </w:style>
  <w:style w:type="paragraph" w:styleId="Heading4">
    <w:name w:val="heading 4"/>
    <w:basedOn w:val="Normal"/>
    <w:next w:val="Normal"/>
    <w:pPr>
      <w:keepNext w:val="1"/>
      <w:keepLines w:val="1"/>
      <w:spacing w:line="240" w:lineRule="auto"/>
      <w:ind w:left="-15" w:right="-15" w:firstLine="0"/>
    </w:pPr>
    <w:rPr>
      <w:color w:val="ec7b00"/>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0" w:line="240" w:lineRule="auto"/>
      <w:ind w:left="-15" w:right="-15" w:firstLine="0"/>
    </w:pPr>
    <w:rPr>
      <w:rFonts w:ascii="Yanone Kaffeesatz" w:cs="Yanone Kaffeesatz" w:eastAsia="Yanone Kaffeesatz" w:hAnsi="Yanone Kaffeesatz"/>
      <w:color w:val="5e2b97"/>
      <w:sz w:val="72"/>
      <w:szCs w:val="72"/>
    </w:rPr>
  </w:style>
  <w:style w:type="paragraph" w:styleId="Subtitle">
    <w:name w:val="Subtitle"/>
    <w:basedOn w:val="Normal"/>
    <w:next w:val="Normal"/>
    <w:pPr>
      <w:keepNext w:val="1"/>
      <w:keepLines w:val="1"/>
      <w:spacing w:line="240" w:lineRule="auto"/>
      <w:ind w:left="-15" w:right="-15" w:firstLine="0"/>
    </w:pPr>
    <w:rPr>
      <w:color w:val="ec7b0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content.spokaneschools.org/cms/lib/WA01000970/Centricity/Domain/1752/Wormeli_slides_BW.pdf"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yperlink" Target="http://www.ascd.org/publications/books/105004.aspx" TargetMode="External"/><Relationship Id="rId8" Type="http://schemas.openxmlformats.org/officeDocument/2006/relationships/hyperlink" Target="https://docs.google.com/a/milanareaschools.org/document/d/1HESp10JDO9wEz9zBc25m0zW-yEg5AVuPpLb77SGH4Zo/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YanoneKaffeesatz-regular.ttf"/><Relationship Id="rId2" Type="http://schemas.openxmlformats.org/officeDocument/2006/relationships/font" Target="fonts/YanoneKaffeesatz-bold.ttf"/><Relationship Id="rId3" Type="http://schemas.openxmlformats.org/officeDocument/2006/relationships/font" Target="fonts/SourceSansPro-regular.ttf"/><Relationship Id="rId4" Type="http://schemas.openxmlformats.org/officeDocument/2006/relationships/font" Target="fonts/SourceSansPro-bold.ttf"/><Relationship Id="rId5" Type="http://schemas.openxmlformats.org/officeDocument/2006/relationships/font" Target="fonts/SourceSansPro-italic.ttf"/><Relationship Id="rId6" Type="http://schemas.openxmlformats.org/officeDocument/2006/relationships/font" Target="fonts/SourceSansPr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